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eastAsia" w:ascii="Arial" w:hAnsi="Arial" w:cs="Arial" w:eastAsiaTheme="minorEastAsia"/>
          <w:b/>
          <w:bCs/>
          <w:snapToGrid w:val="0"/>
          <w:kern w:val="0"/>
          <w:sz w:val="28"/>
          <w:szCs w:val="28"/>
          <w:lang w:val="en-US" w:eastAsia="zh-CN"/>
        </w:rPr>
      </w:pPr>
      <w:bookmarkStart w:id="0" w:name="OLE_LINK9"/>
      <w:r>
        <w:rPr>
          <w:rFonts w:ascii="Arial" w:hAnsi="Arial" w:cs="Arial"/>
          <w:b/>
          <w:bCs/>
          <w:snapToGrid w:val="0"/>
          <w:kern w:val="0"/>
          <w:sz w:val="28"/>
          <w:szCs w:val="28"/>
        </w:rPr>
        <w:t>3GPP TSG-RAN WG2 Meeting</w:t>
      </w:r>
      <w:r>
        <w:rPr>
          <w:rFonts w:hint="eastAsia" w:ascii="Arial" w:hAnsi="Arial" w:cs="Arial"/>
          <w:b/>
          <w:bCs/>
          <w:snapToGrid w:val="0"/>
          <w:kern w:val="0"/>
          <w:sz w:val="28"/>
          <w:szCs w:val="28"/>
        </w:rPr>
        <w:t>#</w:t>
      </w:r>
      <w:r>
        <w:rPr>
          <w:rFonts w:ascii="Arial" w:hAnsi="Arial" w:cs="Arial"/>
          <w:b/>
          <w:bCs/>
          <w:snapToGrid w:val="0"/>
          <w:kern w:val="0"/>
          <w:sz w:val="28"/>
          <w:szCs w:val="28"/>
          <w:lang w:val="en-GB"/>
        </w:rPr>
        <w:t>10</w:t>
      </w:r>
      <w:r>
        <w:rPr>
          <w:rFonts w:hint="eastAsia" w:ascii="Arial" w:hAnsi="Arial" w:cs="Arial"/>
          <w:b/>
          <w:bCs/>
          <w:snapToGrid w:val="0"/>
          <w:kern w:val="0"/>
          <w:sz w:val="28"/>
          <w:szCs w:val="28"/>
          <w:lang w:val="en-US" w:eastAsia="zh-CN"/>
        </w:rPr>
        <w:t>4</w:t>
      </w:r>
      <w:r>
        <w:rPr>
          <w:rFonts w:ascii="Arial" w:hAnsi="Arial" w:cs="Arial"/>
          <w:b/>
          <w:bCs/>
          <w:snapToGrid w:val="0"/>
          <w:kern w:val="0"/>
          <w:sz w:val="28"/>
          <w:szCs w:val="28"/>
          <w:lang w:val="en-GB"/>
        </w:rPr>
        <w:tab/>
      </w:r>
      <w:r>
        <w:rPr>
          <w:rFonts w:hint="eastAsia" w:ascii="Arial" w:hAnsi="Arial" w:cs="Arial"/>
          <w:b/>
          <w:bCs/>
          <w:snapToGrid w:val="0"/>
          <w:kern w:val="0"/>
          <w:sz w:val="28"/>
          <w:szCs w:val="28"/>
          <w:lang w:val="en-GB"/>
        </w:rPr>
        <w:t xml:space="preserve">      </w:t>
      </w:r>
      <w:r>
        <w:rPr>
          <w:rFonts w:hint="eastAsia" w:ascii="Arial" w:hAnsi="Arial" w:cs="Arial"/>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hint="eastAsia" w:ascii="Arial" w:hAnsi="Arial" w:cs="Arial"/>
          <w:b/>
          <w:bCs/>
          <w:snapToGrid w:val="0"/>
          <w:kern w:val="0"/>
          <w:sz w:val="28"/>
          <w:szCs w:val="28"/>
          <w:lang w:val="en-US" w:eastAsia="zh-CN"/>
        </w:rPr>
        <w:t xml:space="preserve">    </w:t>
      </w:r>
      <w:r>
        <w:rPr>
          <w:rFonts w:hint="eastAsia" w:ascii="Arial" w:hAnsi="Arial" w:cs="Arial"/>
          <w:b/>
          <w:bCs/>
          <w:snapToGrid w:val="0"/>
          <w:kern w:val="0"/>
          <w:sz w:val="28"/>
          <w:szCs w:val="28"/>
        </w:rPr>
        <w:t>R2-1817061</w:t>
      </w:r>
      <w:bookmarkStart w:id="4" w:name="_GoBack"/>
      <w:bookmarkEnd w:id="4"/>
    </w:p>
    <w:p>
      <w:pPr>
        <w:overflowPunct w:val="0"/>
        <w:autoSpaceDE w:val="0"/>
        <w:autoSpaceDN w:val="0"/>
        <w:adjustRightInd w:val="0"/>
        <w:snapToGrid w:val="0"/>
        <w:jc w:val="left"/>
        <w:textAlignment w:val="baseline"/>
        <w:rPr>
          <w:rFonts w:ascii="Arial" w:hAnsi="Arial" w:cs="Arial"/>
          <w:b/>
          <w:bCs/>
          <w:kern w:val="0"/>
          <w:sz w:val="28"/>
          <w:szCs w:val="28"/>
        </w:rPr>
      </w:pPr>
      <w:r>
        <w:rPr>
          <w:rFonts w:hint="eastAsia" w:ascii="Arial" w:hAnsi="Arial" w:cs="Arial"/>
          <w:b/>
          <w:bCs/>
          <w:kern w:val="0"/>
          <w:sz w:val="28"/>
          <w:szCs w:val="28"/>
          <w:lang w:val="en-US" w:eastAsia="zh-CN"/>
        </w:rPr>
        <w:t>Spokane</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USA</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12</w:t>
      </w:r>
      <w:r>
        <w:rPr>
          <w:rFonts w:ascii="Arial" w:hAnsi="Arial" w:cs="Arial"/>
          <w:b/>
          <w:bCs/>
          <w:kern w:val="0"/>
          <w:sz w:val="28"/>
          <w:szCs w:val="28"/>
          <w:lang w:val="en-GB"/>
        </w:rPr>
        <w:t xml:space="preserve"> – </w:t>
      </w:r>
      <w:r>
        <w:rPr>
          <w:rFonts w:hint="eastAsia" w:ascii="Arial" w:hAnsi="Arial" w:cs="Arial"/>
          <w:b/>
          <w:bCs/>
          <w:kern w:val="0"/>
          <w:sz w:val="28"/>
          <w:szCs w:val="28"/>
        </w:rPr>
        <w:t>1</w:t>
      </w:r>
      <w:r>
        <w:rPr>
          <w:rFonts w:hint="eastAsia" w:ascii="Arial" w:hAnsi="Arial" w:cs="Arial"/>
          <w:b/>
          <w:bCs/>
          <w:kern w:val="0"/>
          <w:sz w:val="28"/>
          <w:szCs w:val="28"/>
          <w:lang w:val="en-US" w:eastAsia="zh-CN"/>
        </w:rPr>
        <w:t>6</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November</w:t>
      </w:r>
      <w:r>
        <w:rPr>
          <w:rFonts w:ascii="Arial" w:hAnsi="Arial" w:cs="Arial"/>
          <w:b/>
          <w:bCs/>
          <w:kern w:val="0"/>
          <w:sz w:val="28"/>
          <w:szCs w:val="28"/>
          <w:lang w:val="en-GB"/>
        </w:rPr>
        <w:t xml:space="preserve"> 2018</w:t>
      </w:r>
      <w:r>
        <w:rPr>
          <w:rFonts w:ascii="Arial" w:hAnsi="Arial" w:cs="Arial"/>
          <w:b/>
          <w:bCs/>
          <w:kern w:val="0"/>
          <w:sz w:val="28"/>
          <w:szCs w:val="28"/>
        </w:rPr>
        <w:t xml:space="preserve"> </w:t>
      </w:r>
      <w:r>
        <w:rPr>
          <w:rFonts w:ascii="Arial" w:hAnsi="Arial" w:cs="Arial"/>
          <w:b/>
          <w:bCs/>
          <w:kern w:val="0"/>
          <w:sz w:val="28"/>
          <w:szCs w:val="28"/>
          <w:lang w:val="en-GB"/>
        </w:rPr>
        <w:tab/>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ZTE Corporation</w:t>
      </w:r>
      <w:r>
        <w:rPr>
          <w:rFonts w:hint="eastAsia" w:ascii="Arial" w:hAnsi="Arial" w:cs="Arial"/>
          <w:b/>
          <w:bCs/>
          <w:snapToGrid w:val="0"/>
          <w:kern w:val="0"/>
          <w:sz w:val="28"/>
          <w:szCs w:val="28"/>
        </w:rPr>
        <w:t>,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hint="eastAsia" w:ascii="Arial" w:hAnsi="Arial" w:cs="Arial"/>
          <w:b/>
          <w:bCs/>
          <w:snapToGrid w:val="0"/>
          <w:kern w:val="0"/>
          <w:sz w:val="28"/>
          <w:szCs w:val="28"/>
        </w:rPr>
        <w:t>Consideration on TA management in NTN　</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1" w:name="Source"/>
      <w:bookmarkEnd w:id="1"/>
      <w:r>
        <w:rPr>
          <w:rFonts w:hint="eastAsia" w:ascii="Arial" w:hAnsi="Arial" w:cs="Arial"/>
          <w:b/>
          <w:bCs/>
          <w:snapToGrid w:val="0"/>
          <w:kern w:val="0"/>
          <w:sz w:val="28"/>
          <w:szCs w:val="28"/>
        </w:rPr>
        <w:t>11.6.4.2</w:t>
      </w:r>
    </w:p>
    <w:p>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2" w:name="DocumentFor"/>
      <w:bookmarkEnd w:id="2"/>
      <w:r>
        <w:rPr>
          <w:rFonts w:hint="eastAsia"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Discussion</w:t>
      </w:r>
      <w:r>
        <w:rPr>
          <w:rFonts w:hint="eastAsia" w:ascii="Arial" w:hAnsi="Arial" w:cs="Arial"/>
          <w:b/>
          <w:bCs/>
          <w:snapToGrid w:val="0"/>
          <w:kern w:val="0"/>
          <w:sz w:val="28"/>
          <w:szCs w:val="28"/>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bookmarkEnd w:id="0"/>
    <w:p>
      <w:pPr>
        <w:rPr>
          <w:rFonts w:hint="eastAsia" w:eastAsiaTheme="minorEastAsia"/>
          <w:lang w:val="en-US" w:eastAsia="zh-CN"/>
        </w:rPr>
      </w:pPr>
      <w:r>
        <w:rPr>
          <w:rFonts w:hint="eastAsia"/>
          <w:lang w:val="en-US" w:eastAsia="zh-CN"/>
        </w:rPr>
        <w:t xml:space="preserve">In this contribution, we </w:t>
      </w:r>
      <w:r>
        <w:rPr>
          <w:rFonts w:hint="eastAsia"/>
        </w:rPr>
        <w:t>share some</w:t>
      </w:r>
      <w:r>
        <w:rPr>
          <w:rFonts w:hint="eastAsia"/>
          <w:lang w:val="en-US" w:eastAsia="zh-CN"/>
        </w:rPr>
        <w:t xml:space="preserve"> consideration</w:t>
      </w:r>
      <w:r>
        <w:rPr>
          <w:rFonts w:hint="eastAsia"/>
        </w:rPr>
        <w:t xml:space="preserve"> on the </w:t>
      </w:r>
      <w:r>
        <w:rPr>
          <w:rFonts w:hint="eastAsia"/>
          <w:lang w:val="en-US" w:eastAsia="zh-CN"/>
        </w:rPr>
        <w:t>TA management in NTN for fixed beam case and moving beam case.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p>
      <w:pPr>
        <w:rPr>
          <w:rFonts w:hint="eastAsia"/>
          <w:lang w:val="en-US" w:eastAsia="zh-CN"/>
        </w:rPr>
      </w:pPr>
      <w:r>
        <w:rPr>
          <w:rFonts w:hint="eastAsia"/>
          <w:lang w:val="en-US" w:eastAsia="zh-CN"/>
        </w:rPr>
        <w:t>In the latest TR38.821[1].we have the following descriptions:</w:t>
      </w:r>
    </w:p>
    <w:p>
      <w:pPr>
        <w:numPr>
          <w:ilvl w:val="0"/>
          <w:numId w:val="4"/>
        </w:numPr>
        <w:spacing w:after="0"/>
        <w:jc w:val="both"/>
        <w:rPr>
          <w:rFonts w:hint="eastAsia"/>
          <w:i/>
          <w:iCs/>
          <w:highlight w:val="none"/>
          <w:u w:val="none"/>
          <w:lang w:val="en-US" w:eastAsia="zh-CN"/>
        </w:rPr>
      </w:pPr>
      <w:r>
        <w:rPr>
          <w:rFonts w:hint="eastAsia"/>
          <w:i/>
          <w:iCs/>
          <w:highlight w:val="none"/>
          <w:u w:val="none"/>
          <w:lang w:val="en-US" w:eastAsia="zh-CN"/>
        </w:rPr>
        <w:t>a tracking area corresponds to a fixed geographical area.</w:t>
      </w:r>
    </w:p>
    <w:p>
      <w:pPr>
        <w:numPr>
          <w:ilvl w:val="0"/>
          <w:numId w:val="4"/>
        </w:numPr>
        <w:spacing w:after="0"/>
        <w:jc w:val="both"/>
        <w:rPr>
          <w:rFonts w:hint="eastAsia"/>
          <w:i/>
          <w:iCs/>
          <w:highlight w:val="none"/>
          <w:u w:val="none"/>
          <w:lang w:val="en-US" w:eastAsia="zh-CN"/>
        </w:rPr>
      </w:pPr>
      <w:r>
        <w:rPr>
          <w:i/>
          <w:iCs/>
          <w:highlight w:val="none"/>
          <w:u w:val="none"/>
          <w:lang w:eastAsia="ja-JP"/>
        </w:rPr>
        <w:t>For scenarios C2 and D2, the NTN cells move on the ground as the satellites move on their orbital planes. This requires some adaptations to the TA management and paging procedure.</w:t>
      </w:r>
    </w:p>
    <w:p>
      <w:pPr>
        <w:numPr>
          <w:ilvl w:val="0"/>
          <w:numId w:val="0"/>
        </w:numPr>
        <w:spacing w:after="0"/>
        <w:ind w:left="360" w:leftChars="0"/>
        <w:jc w:val="both"/>
        <w:rPr>
          <w:rFonts w:hint="eastAsia"/>
          <w:i/>
          <w:iCs/>
          <w:highlight w:val="none"/>
          <w:u w:val="none"/>
          <w:lang w:val="en-US" w:eastAsia="zh-CN"/>
        </w:rPr>
      </w:pPr>
    </w:p>
    <w:p>
      <w:pPr>
        <w:rPr>
          <w:rFonts w:hint="eastAsia"/>
          <w:lang w:val="en-US" w:eastAsia="zh-CN"/>
        </w:rPr>
      </w:pPr>
      <w:r>
        <w:rPr>
          <w:rFonts w:hint="eastAsia"/>
          <w:lang w:val="en-US" w:eastAsia="zh-CN"/>
        </w:rPr>
        <w:t xml:space="preserve">It can be observed that, for the </w:t>
      </w:r>
      <w:r>
        <w:rPr>
          <w:rFonts w:hint="default"/>
          <w:lang w:val="en-US" w:eastAsia="zh-CN"/>
        </w:rPr>
        <w:t>“</w:t>
      </w:r>
      <w:r>
        <w:rPr>
          <w:rFonts w:hint="eastAsia"/>
          <w:lang w:val="en-US" w:eastAsia="zh-CN"/>
        </w:rPr>
        <w:t>Earth-fixed beams</w:t>
      </w:r>
      <w:r>
        <w:rPr>
          <w:rFonts w:hint="default"/>
          <w:lang w:val="en-US" w:eastAsia="zh-CN"/>
        </w:rPr>
        <w:t>”</w:t>
      </w:r>
      <w:r>
        <w:rPr>
          <w:rFonts w:hint="eastAsia"/>
          <w:lang w:val="en-US" w:eastAsia="zh-CN"/>
        </w:rPr>
        <w:t xml:space="preserve"> (i.e. </w:t>
      </w:r>
      <w:r>
        <w:rPr>
          <w:rFonts w:hint="eastAsia"/>
          <w:lang w:val="en-US" w:eastAsia="ja-JP"/>
        </w:rPr>
        <w:t>For scenarios A, B, C1 and D1</w:t>
      </w:r>
      <w:r>
        <w:rPr>
          <w:rFonts w:hint="eastAsia"/>
          <w:lang w:val="en-US" w:eastAsia="zh-CN"/>
        </w:rPr>
        <w:t xml:space="preserve">), since the coverage of cell is relatively fixed, the TA management and TA based paging procedure can be reused in NTN. However, for the case of </w:t>
      </w:r>
      <w:r>
        <w:rPr>
          <w:rFonts w:hint="default"/>
          <w:lang w:val="en-US" w:eastAsia="zh-CN"/>
        </w:rPr>
        <w:t>“</w:t>
      </w:r>
      <w:r>
        <w:rPr>
          <w:rFonts w:hint="eastAsia"/>
          <w:lang w:val="en-US" w:eastAsia="zh-CN"/>
        </w:rPr>
        <w:t>Moving beams</w:t>
      </w:r>
      <w:r>
        <w:rPr>
          <w:rFonts w:hint="default"/>
          <w:lang w:val="en-US" w:eastAsia="zh-CN"/>
        </w:rPr>
        <w:t>”</w:t>
      </w:r>
      <w:r>
        <w:rPr>
          <w:rFonts w:hint="eastAsia"/>
          <w:lang w:val="en-US" w:eastAsia="zh-CN"/>
        </w:rPr>
        <w:t xml:space="preserve"> (i.e. </w:t>
      </w:r>
      <w:r>
        <w:rPr>
          <w:rFonts w:hint="eastAsia"/>
          <w:lang w:val="en-US" w:eastAsia="ja-JP"/>
        </w:rPr>
        <w:t>For scenarios C2 and D2</w:t>
      </w:r>
      <w:r>
        <w:rPr>
          <w:rFonts w:hint="eastAsia"/>
          <w:lang w:val="en-US" w:eastAsia="zh-CN"/>
        </w:rPr>
        <w:t xml:space="preserve">, in which case the beams move with the satellite ), some enhancement should be considered to adapt the NTN. The issue need to be considered in the TA management in case of </w:t>
      </w:r>
      <w:r>
        <w:rPr>
          <w:rFonts w:hint="default"/>
          <w:lang w:val="en-US" w:eastAsia="zh-CN"/>
        </w:rPr>
        <w:t>“</w:t>
      </w:r>
      <w:r>
        <w:rPr>
          <w:rFonts w:hint="eastAsia"/>
          <w:lang w:val="en-US" w:eastAsia="zh-CN"/>
        </w:rPr>
        <w:t>Moving beams</w:t>
      </w:r>
      <w:r>
        <w:rPr>
          <w:rFonts w:hint="default"/>
          <w:lang w:val="en-US" w:eastAsia="zh-CN"/>
        </w:rPr>
        <w:t>”</w:t>
      </w:r>
      <w:r>
        <w:rPr>
          <w:rFonts w:hint="eastAsia"/>
          <w:lang w:val="en-US" w:eastAsia="zh-CN"/>
        </w:rPr>
        <w:t xml:space="preserve"> are illustrated in the figure as follow:</w:t>
      </w:r>
    </w:p>
    <w:p>
      <w:pPr>
        <w:rPr>
          <w:rFonts w:hint="eastAsia"/>
          <w:lang w:val="en-US" w:eastAsia="zh-CN"/>
        </w:rPr>
      </w:pPr>
      <w:r>
        <w:rPr>
          <w:rFonts w:hint="eastAsia"/>
          <w:lang w:val="en-US" w:eastAsia="zh-CN"/>
        </w:rPr>
        <w:object>
          <v:shape id="_x0000_i1025" o:spt="75" type="#_x0000_t75" style="height:247pt;width:488.85pt;" o:ole="t" filled="f" o:preferrelative="t" stroked="f" coordsize="21600,21600">
            <v:path/>
            <v:fill on="f" focussize="0,0"/>
            <v:stroke on="f"/>
            <v:imagedata r:id="rId7" o:title=""/>
            <o:lock v:ext="edit" aspectratio="f"/>
            <w10:wrap type="none"/>
            <w10:anchorlock/>
          </v:shape>
          <o:OLEObject Type="Embed" ProgID="Visio.Drawing.11" ShapeID="_x0000_i1025" DrawAspect="Content" ObjectID="_1468075725" r:id="rId6">
            <o:LockedField>false</o:LockedField>
          </o:OLEObject>
        </w:object>
      </w:r>
    </w:p>
    <w:p>
      <w:pPr>
        <w:jc w:val="center"/>
        <w:rPr>
          <w:rFonts w:hint="eastAsia"/>
          <w:lang w:val="en-US" w:eastAsia="zh-CN"/>
        </w:rPr>
      </w:pPr>
      <w:r>
        <w:rPr>
          <w:rFonts w:hint="eastAsia"/>
          <w:lang w:val="en-US" w:eastAsia="zh-CN"/>
        </w:rPr>
        <w:t>Figure 1 The coverage of moving satellite</w:t>
      </w:r>
    </w:p>
    <w:p>
      <w:pPr>
        <w:rPr>
          <w:rFonts w:hint="eastAsia"/>
          <w:lang w:val="en-US" w:eastAsia="zh-CN"/>
        </w:rPr>
      </w:pPr>
      <w:r>
        <w:rPr>
          <w:rFonts w:hint="eastAsia"/>
          <w:lang w:val="en-US" w:eastAsia="zh-CN"/>
        </w:rPr>
        <w:t>Based on the figure above, it can be observed that the coverage of the cell is changing along with the movement of the satellite. Also considering the tracking area corresponds to a fixed geographical area, the TA associated with the cell will be changed dynamically (e.g. may be changed in several minutes).</w:t>
      </w:r>
    </w:p>
    <w:p>
      <w:pPr>
        <w:rPr>
          <w:rFonts w:hint="eastAsia"/>
          <w:b/>
          <w:bCs/>
          <w:lang w:val="en-US" w:eastAsia="zh-CN"/>
        </w:rPr>
      </w:pPr>
      <w:r>
        <w:rPr>
          <w:rFonts w:hint="eastAsia"/>
          <w:b/>
          <w:bCs/>
          <w:lang w:val="en-US" w:eastAsia="zh-CN"/>
        </w:rPr>
        <w:t xml:space="preserve">Observation 1: For the case of </w:t>
      </w:r>
      <w:r>
        <w:rPr>
          <w:rFonts w:hint="default"/>
          <w:b/>
          <w:bCs/>
          <w:lang w:val="en-US" w:eastAsia="zh-CN"/>
        </w:rPr>
        <w:t>“</w:t>
      </w:r>
      <w:r>
        <w:rPr>
          <w:rFonts w:hint="eastAsia"/>
          <w:b/>
          <w:bCs/>
          <w:lang w:val="en-US" w:eastAsia="zh-CN"/>
        </w:rPr>
        <w:t>Moving beams</w:t>
      </w:r>
      <w:r>
        <w:rPr>
          <w:rFonts w:hint="default"/>
          <w:b/>
          <w:bCs/>
          <w:lang w:val="en-US" w:eastAsia="zh-CN"/>
        </w:rPr>
        <w:t>”</w:t>
      </w:r>
      <w:r>
        <w:rPr>
          <w:rFonts w:hint="eastAsia"/>
          <w:b/>
          <w:bCs/>
          <w:lang w:val="en-US" w:eastAsia="zh-CN"/>
        </w:rPr>
        <w:t xml:space="preserve"> (i.e. </w:t>
      </w:r>
      <w:r>
        <w:rPr>
          <w:rFonts w:hint="eastAsia"/>
          <w:b/>
          <w:bCs/>
          <w:lang w:val="en-US" w:eastAsia="ja-JP"/>
        </w:rPr>
        <w:t>For scenarios C2 and D2</w:t>
      </w:r>
      <w:r>
        <w:rPr>
          <w:rFonts w:hint="eastAsia"/>
          <w:b/>
          <w:bCs/>
          <w:lang w:val="en-US" w:eastAsia="zh-CN"/>
        </w:rPr>
        <w:t>, in which case the beams move with the satellite), the TA associated with the NTN cell will be changed dynamically along with the movement of the satellite.</w:t>
      </w:r>
    </w:p>
    <w:p>
      <w:pPr>
        <w:rPr>
          <w:rFonts w:hint="eastAsia"/>
          <w:lang w:val="en-US" w:eastAsia="zh-CN"/>
        </w:rPr>
      </w:pPr>
      <w:r>
        <w:rPr>
          <w:rFonts w:hint="eastAsia"/>
          <w:lang w:val="en-US" w:eastAsia="zh-CN"/>
        </w:rPr>
        <w:t>To adapt the dynamical changed TA of the NTN cell, some alternatives are proposed by companies, which are listed as follow:</w:t>
      </w:r>
    </w:p>
    <w:p>
      <w:pPr>
        <w:numPr>
          <w:ilvl w:val="0"/>
          <w:numId w:val="5"/>
        </w:numPr>
        <w:ind w:left="420" w:leftChars="0" w:hanging="420" w:firstLineChars="0"/>
        <w:rPr>
          <w:rFonts w:hint="eastAsia"/>
          <w:lang w:val="en-US" w:eastAsia="zh-CN"/>
        </w:rPr>
      </w:pPr>
      <w:r>
        <w:rPr>
          <w:rFonts w:hint="eastAsia"/>
          <w:lang w:val="en-US" w:eastAsia="zh-CN"/>
        </w:rPr>
        <w:t>Alt1: Similar as the TA management defined in NR, the UE determine the TA based on the information received from SIB1.</w:t>
      </w:r>
    </w:p>
    <w:p>
      <w:pPr>
        <w:numPr>
          <w:ilvl w:val="0"/>
          <w:numId w:val="5"/>
        </w:numPr>
        <w:ind w:left="420" w:leftChars="0" w:hanging="420" w:firstLineChars="0"/>
        <w:rPr>
          <w:rFonts w:hint="eastAsia"/>
          <w:lang w:val="en-US" w:eastAsia="zh-CN"/>
        </w:rPr>
      </w:pPr>
      <w:r>
        <w:rPr>
          <w:rFonts w:hint="eastAsia"/>
          <w:lang w:val="en-US" w:eastAsia="zh-CN"/>
        </w:rPr>
        <w:t>Alt2: UE determine the TA based on the location information maintained on UE side. In this alternative, the location information is assumed always available on UE side.</w:t>
      </w:r>
    </w:p>
    <w:p>
      <w:pPr>
        <w:widowControl w:val="0"/>
        <w:numPr>
          <w:ilvl w:val="0"/>
          <w:numId w:val="0"/>
        </w:numPr>
        <w:spacing w:after="160" w:line="259" w:lineRule="auto"/>
        <w:jc w:val="both"/>
        <w:rPr>
          <w:rFonts w:hint="eastAsia"/>
          <w:u w:val="single"/>
          <w:lang w:val="en-US" w:eastAsia="zh-CN"/>
        </w:rPr>
      </w:pPr>
      <w:r>
        <w:rPr>
          <w:rFonts w:hint="eastAsia"/>
          <w:u w:val="single"/>
          <w:lang w:val="en-US" w:eastAsia="zh-CN"/>
        </w:rPr>
        <w:t>For the alternative 1: the UE determine the TA based on the information received in SIB1</w:t>
      </w:r>
    </w:p>
    <w:p>
      <w:pPr>
        <w:widowControl w:val="0"/>
        <w:numPr>
          <w:ilvl w:val="0"/>
          <w:numId w:val="0"/>
        </w:numPr>
        <w:spacing w:after="160" w:line="259" w:lineRule="auto"/>
        <w:jc w:val="center"/>
        <w:rPr>
          <w:rFonts w:hint="eastAsia" w:eastAsia="宋体"/>
          <w:bCs/>
          <w:sz w:val="22"/>
          <w:szCs w:val="22"/>
          <w:lang w:val="en-US" w:eastAsia="zh-CN"/>
        </w:rPr>
      </w:pPr>
      <w:r>
        <w:rPr>
          <w:rFonts w:hint="eastAsia" w:eastAsia="宋体"/>
          <w:bCs/>
          <w:sz w:val="22"/>
          <w:szCs w:val="22"/>
          <w:lang w:val="en-US" w:eastAsia="zh-CN"/>
        </w:rPr>
        <w:object>
          <v:shape id="_x0000_i1026" o:spt="75" type="#_x0000_t75" style="height:215.75pt;width:414.85pt;" o:ole="t" filled="f" o:preferrelative="t" stroked="f" coordsize="21600,21600">
            <v:path/>
            <v:fill on="f" focussize="0,0"/>
            <v:stroke on="f"/>
            <v:imagedata r:id="rId9" o:title=""/>
            <o:lock v:ext="edit" aspectratio="f"/>
            <w10:wrap type="none"/>
            <w10:anchorlock/>
          </v:shape>
          <o:OLEObject Type="Embed" ProgID="Visio.Drawing.11" ShapeID="_x0000_i1026" DrawAspect="Content" ObjectID="_1468075726" r:id="rId8">
            <o:LockedField>false</o:LockedField>
          </o:OLEObject>
        </w:object>
      </w:r>
    </w:p>
    <w:p>
      <w:pPr>
        <w:widowControl w:val="0"/>
        <w:numPr>
          <w:ilvl w:val="0"/>
          <w:numId w:val="0"/>
        </w:numPr>
        <w:spacing w:after="160" w:line="259" w:lineRule="auto"/>
        <w:jc w:val="center"/>
        <w:rPr>
          <w:rFonts w:hint="eastAsia" w:eastAsia="宋体"/>
          <w:bCs/>
          <w:sz w:val="22"/>
          <w:szCs w:val="22"/>
          <w:lang w:val="en-US" w:eastAsia="zh-CN"/>
        </w:rPr>
      </w:pPr>
      <w:r>
        <w:rPr>
          <w:rFonts w:hint="eastAsia" w:eastAsia="宋体"/>
          <w:bCs/>
          <w:sz w:val="22"/>
          <w:szCs w:val="22"/>
          <w:lang w:val="en-US" w:eastAsia="zh-CN"/>
        </w:rPr>
        <w:t>Figure 2 TA determination based on the broadcast information in SIB1</w:t>
      </w:r>
    </w:p>
    <w:p>
      <w:pPr>
        <w:spacing w:line="276" w:lineRule="auto"/>
        <w:rPr>
          <w:rFonts w:hint="eastAsia"/>
          <w:lang w:val="en-US" w:eastAsia="zh-CN"/>
        </w:rPr>
      </w:pPr>
      <w:r>
        <w:rPr>
          <w:rFonts w:hint="eastAsia" w:eastAsia="宋体"/>
          <w:bCs/>
          <w:sz w:val="22"/>
          <w:szCs w:val="22"/>
          <w:lang w:val="en-US" w:eastAsia="zh-CN"/>
        </w:rPr>
        <w:t xml:space="preserve">As shown in Figure 2, when UE moves to a new cell, UE derives the TAI from the broadcast TAC and PLMN ID. If the newly derived TAI does not belong to the previously received TAI list, UE triggers </w:t>
      </w:r>
      <w:r>
        <w:rPr>
          <w:rFonts w:hint="eastAsia" w:eastAsia="宋体"/>
          <w:bCs/>
          <w:sz w:val="22"/>
          <w:szCs w:val="22"/>
        </w:rPr>
        <w:t>Mobility Registration Update</w:t>
      </w:r>
      <w:r>
        <w:rPr>
          <w:rFonts w:hint="eastAsia" w:eastAsia="宋体"/>
          <w:bCs/>
          <w:sz w:val="22"/>
          <w:szCs w:val="22"/>
          <w:lang w:val="en-US" w:eastAsia="zh-CN"/>
        </w:rPr>
        <w:t xml:space="preserve"> procedure. </w:t>
      </w:r>
    </w:p>
    <w:p>
      <w:pPr>
        <w:widowControl w:val="0"/>
        <w:numPr>
          <w:ilvl w:val="0"/>
          <w:numId w:val="0"/>
        </w:numPr>
        <w:spacing w:after="160" w:line="259" w:lineRule="auto"/>
        <w:jc w:val="both"/>
        <w:rPr>
          <w:rFonts w:hint="eastAsia"/>
          <w:u w:val="single"/>
          <w:lang w:val="en-US" w:eastAsia="zh-CN"/>
        </w:rPr>
      </w:pPr>
      <w:r>
        <w:rPr>
          <w:rFonts w:hint="eastAsia"/>
          <w:u w:val="single"/>
          <w:lang w:val="en-US" w:eastAsia="zh-CN"/>
        </w:rPr>
        <w:t>For the alternative 2: UE determine the TA based on the location information maintained on UE side</w:t>
      </w:r>
    </w:p>
    <w:p>
      <w:pPr>
        <w:widowControl w:val="0"/>
        <w:numPr>
          <w:ilvl w:val="0"/>
          <w:numId w:val="0"/>
        </w:numPr>
        <w:spacing w:after="160" w:line="259" w:lineRule="auto"/>
        <w:jc w:val="center"/>
        <w:rPr>
          <w:rFonts w:hint="eastAsia" w:eastAsia="宋体"/>
          <w:bCs/>
          <w:sz w:val="22"/>
          <w:szCs w:val="22"/>
          <w:lang w:val="en-US" w:eastAsia="zh-CN"/>
        </w:rPr>
      </w:pPr>
      <w:r>
        <w:rPr>
          <w:rFonts w:hint="eastAsia" w:eastAsia="宋体"/>
          <w:bCs/>
          <w:sz w:val="22"/>
          <w:szCs w:val="22"/>
          <w:lang w:val="en-US" w:eastAsia="zh-CN"/>
        </w:rPr>
        <w:object>
          <v:shape id="_x0000_i1027" o:spt="75" type="#_x0000_t75" style="height:215.75pt;width:414.85pt;" o:ole="t" filled="f" o:preferrelative="t" stroked="f" coordsize="21600,21600">
            <v:path/>
            <v:fill on="f" focussize="0,0"/>
            <v:stroke on="f"/>
            <v:imagedata r:id="rId11" o:title=""/>
            <o:lock v:ext="edit" aspectratio="f"/>
            <w10:wrap type="none"/>
            <w10:anchorlock/>
          </v:shape>
          <o:OLEObject Type="Embed" ProgID="Visio.Drawing.11" ShapeID="_x0000_i1027" DrawAspect="Content" ObjectID="_1468075727" r:id="rId10">
            <o:LockedField>false</o:LockedField>
          </o:OLEObject>
        </w:object>
      </w:r>
    </w:p>
    <w:p>
      <w:pPr>
        <w:widowControl w:val="0"/>
        <w:numPr>
          <w:ilvl w:val="0"/>
          <w:numId w:val="0"/>
        </w:numPr>
        <w:spacing w:after="160" w:line="259" w:lineRule="auto"/>
        <w:jc w:val="center"/>
        <w:rPr>
          <w:rFonts w:hint="eastAsia" w:eastAsia="宋体"/>
          <w:bCs/>
          <w:sz w:val="22"/>
          <w:szCs w:val="22"/>
          <w:lang w:val="en-US" w:eastAsia="zh-CN"/>
        </w:rPr>
      </w:pPr>
      <w:r>
        <w:rPr>
          <w:rFonts w:hint="eastAsia" w:eastAsia="宋体"/>
          <w:bCs/>
          <w:sz w:val="22"/>
          <w:szCs w:val="22"/>
          <w:lang w:val="en-US" w:eastAsia="zh-CN"/>
        </w:rPr>
        <w:t>Figure 3 TA determination based on the location information maintained on the UE side</w:t>
      </w:r>
    </w:p>
    <w:p>
      <w:pPr>
        <w:spacing w:line="276" w:lineRule="auto"/>
        <w:rPr>
          <w:rFonts w:hint="eastAsia" w:eastAsia="宋体"/>
          <w:bCs/>
          <w:sz w:val="22"/>
          <w:szCs w:val="22"/>
          <w:lang w:val="en-US" w:eastAsia="zh-CN"/>
        </w:rPr>
      </w:pPr>
      <w:r>
        <w:rPr>
          <w:rFonts w:hint="eastAsia" w:eastAsia="宋体"/>
          <w:bCs/>
          <w:sz w:val="22"/>
          <w:szCs w:val="22"/>
          <w:lang w:val="en-US" w:eastAsia="zh-CN"/>
        </w:rPr>
        <w:t xml:space="preserve">As shown in figure 3, when UE moves to a new geographical area, UE derives the TAI based on the location information (e.g. the TAC mapped from geographical area) and the broadcast PLMN ID. If the newly derived TAI does not belong to the previously received TAI list, UE triggers </w:t>
      </w:r>
      <w:r>
        <w:rPr>
          <w:rFonts w:hint="eastAsia" w:eastAsia="宋体"/>
          <w:bCs/>
          <w:sz w:val="22"/>
          <w:szCs w:val="22"/>
        </w:rPr>
        <w:t>Mobility Registration Update</w:t>
      </w:r>
      <w:r>
        <w:rPr>
          <w:rFonts w:hint="eastAsia" w:eastAsia="宋体"/>
          <w:bCs/>
          <w:sz w:val="22"/>
          <w:szCs w:val="22"/>
          <w:lang w:val="en-US" w:eastAsia="zh-CN"/>
        </w:rPr>
        <w:t xml:space="preserve"> procedure. </w:t>
      </w:r>
    </w:p>
    <w:p>
      <w:pPr>
        <w:rPr>
          <w:rFonts w:hint="eastAsia"/>
          <w:lang w:val="en-US" w:eastAsia="zh-CN"/>
        </w:rPr>
      </w:pPr>
      <w:r>
        <w:rPr>
          <w:rFonts w:hint="eastAsia"/>
          <w:lang w:val="en-US" w:eastAsia="zh-CN"/>
        </w:rPr>
        <w:t>Compared alternative 1 and alternative 2, a comparison table is given as follows:</w:t>
      </w:r>
    </w:p>
    <w:tbl>
      <w:tblPr>
        <w:tblStyle w:val="65"/>
        <w:tblW w:w="99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32"/>
        <w:gridCol w:w="3332"/>
        <w:gridCol w:w="3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32" w:type="dxa"/>
          </w:tcPr>
          <w:p>
            <w:pPr>
              <w:widowControl w:val="0"/>
              <w:numPr>
                <w:ilvl w:val="0"/>
                <w:numId w:val="0"/>
              </w:numPr>
              <w:spacing w:after="160" w:line="259" w:lineRule="auto"/>
              <w:jc w:val="both"/>
              <w:rPr>
                <w:rFonts w:hint="eastAsia"/>
                <w:vertAlign w:val="baseline"/>
                <w:lang w:val="en-US" w:eastAsia="zh-CN"/>
              </w:rPr>
            </w:pPr>
            <w:r>
              <w:rPr>
                <w:rFonts w:hint="eastAsia"/>
                <w:vertAlign w:val="baseline"/>
                <w:lang w:val="en-US" w:eastAsia="zh-CN"/>
              </w:rPr>
              <w:t>Alternatives</w:t>
            </w:r>
          </w:p>
        </w:tc>
        <w:tc>
          <w:tcPr>
            <w:tcW w:w="3332" w:type="dxa"/>
          </w:tcPr>
          <w:p>
            <w:pPr>
              <w:widowControl w:val="0"/>
              <w:numPr>
                <w:ilvl w:val="0"/>
                <w:numId w:val="0"/>
              </w:numPr>
              <w:spacing w:after="160" w:line="259" w:lineRule="auto"/>
              <w:jc w:val="both"/>
              <w:rPr>
                <w:rFonts w:hint="eastAsia"/>
                <w:vertAlign w:val="baseline"/>
                <w:lang w:val="en-US" w:eastAsia="zh-CN"/>
              </w:rPr>
            </w:pPr>
            <w:r>
              <w:rPr>
                <w:rFonts w:hint="eastAsia"/>
                <w:vertAlign w:val="baseline"/>
                <w:lang w:val="en-US" w:eastAsia="zh-CN"/>
              </w:rPr>
              <w:t>Pros</w:t>
            </w:r>
          </w:p>
        </w:tc>
        <w:tc>
          <w:tcPr>
            <w:tcW w:w="3333" w:type="dxa"/>
          </w:tcPr>
          <w:p>
            <w:pPr>
              <w:widowControl w:val="0"/>
              <w:numPr>
                <w:ilvl w:val="0"/>
                <w:numId w:val="0"/>
              </w:numPr>
              <w:spacing w:after="160" w:line="259" w:lineRule="auto"/>
              <w:jc w:val="both"/>
              <w:rPr>
                <w:rFonts w:hint="eastAsia"/>
                <w:vertAlign w:val="baseline"/>
                <w:lang w:val="en-US" w:eastAsia="zh-CN"/>
              </w:rPr>
            </w:pPr>
            <w:r>
              <w:rPr>
                <w:rFonts w:hint="eastAsia"/>
                <w:vertAlign w:val="baseline"/>
                <w:lang w:val="en-US"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32" w:type="dxa"/>
          </w:tcPr>
          <w:p>
            <w:pPr>
              <w:widowControl w:val="0"/>
              <w:numPr>
                <w:ilvl w:val="0"/>
                <w:numId w:val="0"/>
              </w:numPr>
              <w:spacing w:after="160" w:line="259" w:lineRule="auto"/>
              <w:jc w:val="both"/>
              <w:rPr>
                <w:rFonts w:hint="eastAsia"/>
                <w:vertAlign w:val="baseline"/>
                <w:lang w:val="en-US" w:eastAsia="zh-CN"/>
              </w:rPr>
            </w:pPr>
            <w:r>
              <w:rPr>
                <w:rFonts w:hint="eastAsia"/>
                <w:vertAlign w:val="baseline"/>
                <w:lang w:val="en-US" w:eastAsia="zh-CN"/>
              </w:rPr>
              <w:t>Alt 1: The UE determine the TA based on the information received from SIB1</w:t>
            </w:r>
          </w:p>
        </w:tc>
        <w:tc>
          <w:tcPr>
            <w:tcW w:w="3332" w:type="dxa"/>
          </w:tcPr>
          <w:p>
            <w:pPr>
              <w:widowControl w:val="0"/>
              <w:numPr>
                <w:ilvl w:val="0"/>
                <w:numId w:val="0"/>
              </w:numPr>
              <w:spacing w:after="160" w:line="259" w:lineRule="auto"/>
              <w:jc w:val="both"/>
              <w:rPr>
                <w:rFonts w:hint="eastAsia"/>
                <w:vertAlign w:val="baseline"/>
                <w:lang w:val="en-US" w:eastAsia="zh-CN"/>
              </w:rPr>
            </w:pPr>
            <w:r>
              <w:rPr>
                <w:rFonts w:hint="eastAsia"/>
                <w:vertAlign w:val="baseline"/>
                <w:lang w:val="en-US" w:eastAsia="zh-CN"/>
              </w:rPr>
              <w:t>The UE without available location information can still work in case of NTN.</w:t>
            </w:r>
          </w:p>
        </w:tc>
        <w:tc>
          <w:tcPr>
            <w:tcW w:w="3333" w:type="dxa"/>
          </w:tcPr>
          <w:p>
            <w:pPr>
              <w:widowControl w:val="0"/>
              <w:numPr>
                <w:ilvl w:val="0"/>
                <w:numId w:val="0"/>
              </w:numPr>
              <w:spacing w:after="160" w:line="259" w:lineRule="auto"/>
              <w:jc w:val="both"/>
              <w:rPr>
                <w:rFonts w:hint="eastAsia" w:eastAsiaTheme="minorEastAsia"/>
                <w:vertAlign w:val="baseline"/>
                <w:lang w:val="en-US" w:eastAsia="zh-CN"/>
              </w:rPr>
            </w:pPr>
            <w:r>
              <w:rPr>
                <w:rFonts w:hint="eastAsia"/>
                <w:vertAlign w:val="baseline"/>
                <w:lang w:val="en-US" w:eastAsia="zh-CN"/>
              </w:rPr>
              <w:t>Multiple TA may be reported to NW in case the coverage of NTN cell across multiple 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32" w:type="dxa"/>
          </w:tcPr>
          <w:p>
            <w:pPr>
              <w:widowControl w:val="0"/>
              <w:numPr>
                <w:ilvl w:val="0"/>
                <w:numId w:val="0"/>
              </w:numPr>
              <w:spacing w:after="160" w:line="259" w:lineRule="auto"/>
              <w:jc w:val="both"/>
              <w:rPr>
                <w:rFonts w:hint="eastAsia"/>
                <w:vertAlign w:val="baseline"/>
                <w:lang w:val="en-US" w:eastAsia="zh-CN"/>
              </w:rPr>
            </w:pPr>
            <w:r>
              <w:rPr>
                <w:rFonts w:hint="eastAsia"/>
                <w:vertAlign w:val="baseline"/>
                <w:lang w:val="en-US" w:eastAsia="zh-CN"/>
              </w:rPr>
              <w:t>Alt 2: UE determine the TA based on the location information maintained on UE side</w:t>
            </w:r>
          </w:p>
        </w:tc>
        <w:tc>
          <w:tcPr>
            <w:tcW w:w="3332" w:type="dxa"/>
          </w:tcPr>
          <w:p>
            <w:pPr>
              <w:widowControl w:val="0"/>
              <w:numPr>
                <w:ilvl w:val="0"/>
                <w:numId w:val="0"/>
              </w:numPr>
              <w:spacing w:after="160" w:line="259" w:lineRule="auto"/>
              <w:jc w:val="both"/>
              <w:rPr>
                <w:rFonts w:hint="eastAsia"/>
                <w:vertAlign w:val="baseline"/>
                <w:lang w:val="en-US" w:eastAsia="zh-CN"/>
              </w:rPr>
            </w:pPr>
            <w:r>
              <w:rPr>
                <w:rFonts w:hint="eastAsia"/>
                <w:vertAlign w:val="baseline"/>
                <w:lang w:val="en-US" w:eastAsia="zh-CN"/>
              </w:rPr>
              <w:t>More precise TA information can be provided and some unnecessary paging can be saved.</w:t>
            </w:r>
          </w:p>
        </w:tc>
        <w:tc>
          <w:tcPr>
            <w:tcW w:w="3333" w:type="dxa"/>
          </w:tcPr>
          <w:p>
            <w:pPr>
              <w:widowControl w:val="0"/>
              <w:numPr>
                <w:ilvl w:val="0"/>
                <w:numId w:val="0"/>
              </w:numPr>
              <w:spacing w:after="160" w:line="259" w:lineRule="auto"/>
              <w:jc w:val="both"/>
              <w:rPr>
                <w:rFonts w:hint="eastAsia"/>
                <w:vertAlign w:val="baseline"/>
                <w:lang w:val="en-US" w:eastAsia="zh-CN"/>
              </w:rPr>
            </w:pPr>
            <w:r>
              <w:rPr>
                <w:rFonts w:hint="eastAsia"/>
                <w:vertAlign w:val="baseline"/>
                <w:lang w:val="en-US" w:eastAsia="zh-CN"/>
              </w:rPr>
              <w:t>The location information is required on UE side.</w:t>
            </w:r>
          </w:p>
        </w:tc>
      </w:tr>
    </w:tbl>
    <w:p>
      <w:pPr>
        <w:rPr>
          <w:rFonts w:hint="eastAsia"/>
          <w:lang w:val="en-US" w:eastAsia="zh-CN"/>
        </w:rPr>
      </w:pPr>
    </w:p>
    <w:p>
      <w:pPr>
        <w:rPr>
          <w:rFonts w:hint="eastAsia"/>
          <w:lang w:val="en-US" w:eastAsia="zh-CN"/>
        </w:rPr>
      </w:pPr>
      <w:r>
        <w:rPr>
          <w:rFonts w:hint="eastAsia"/>
          <w:lang w:val="en-US" w:eastAsia="zh-CN"/>
        </w:rPr>
        <w:t>Based on the analysis above, it can be observed that , for the alternative 2, even it is very likely the UE who support NTN can support the positioning based on GNSS or similar method, the UE still may not be able to have precise location information in case there is only one satellite can be seen on UE side (e.g. only one NTN satellite is visible to UE, no GNSS/NTN satellites used for positioning is available). Therefore, we think the alternative 2 is not fully functional, at least in the initial phase and we should ensure that UE should be able to work in case there is no available location information on UE side.</w:t>
      </w:r>
    </w:p>
    <w:p>
      <w:pPr>
        <w:rPr>
          <w:rFonts w:hint="eastAsia"/>
          <w:b/>
          <w:bCs/>
          <w:lang w:val="en-US" w:eastAsia="zh-CN"/>
        </w:rPr>
      </w:pPr>
      <w:r>
        <w:rPr>
          <w:rFonts w:hint="eastAsia"/>
          <w:b/>
          <w:bCs/>
          <w:lang w:val="en-US" w:eastAsia="zh-CN"/>
        </w:rPr>
        <w:t>Proposal 1: For the NTN scenario, the UE should be able to work in case there is no available location information on UE side (e.g. only one NTN satellite is visible to UE, no GNSS/NTN satellites used for positioning is available).</w:t>
      </w:r>
    </w:p>
    <w:p>
      <w:pPr>
        <w:rPr>
          <w:rFonts w:hint="eastAsia"/>
          <w:b/>
          <w:bCs/>
          <w:lang w:val="en-US" w:eastAsia="zh-CN"/>
        </w:rPr>
      </w:pPr>
      <w:r>
        <w:rPr>
          <w:rFonts w:hint="eastAsia"/>
          <w:lang w:val="en-US" w:eastAsia="zh-CN"/>
        </w:rPr>
        <w:t>Since the alternative 2 can not work in all cases, we think the alternative 1 should be considered as baseline for NTN and TA management based on system information can be used from RAN2</w:t>
      </w:r>
      <w:r>
        <w:rPr>
          <w:rFonts w:hint="default"/>
          <w:lang w:val="en-US" w:eastAsia="zh-CN"/>
        </w:rPr>
        <w:t>’</w:t>
      </w:r>
      <w:r>
        <w:rPr>
          <w:rFonts w:hint="eastAsia"/>
          <w:lang w:val="en-US" w:eastAsia="zh-CN"/>
        </w:rPr>
        <w:t>s perspective.</w:t>
      </w:r>
    </w:p>
    <w:p>
      <w:pPr>
        <w:rPr>
          <w:rFonts w:hint="eastAsia"/>
          <w:b/>
          <w:bCs/>
          <w:lang w:val="en-US" w:eastAsia="zh-CN"/>
        </w:rPr>
      </w:pPr>
      <w:r>
        <w:rPr>
          <w:rFonts w:hint="eastAsia"/>
          <w:b/>
          <w:bCs/>
          <w:lang w:val="en-US" w:eastAsia="zh-CN"/>
        </w:rPr>
        <w:t>Proposal 2: The UE should be able to determine the TA based on the information received in SIB1. And the TA information should still be included in the SIB1 in NTN for both fixed beam case and moving beam case.</w:t>
      </w:r>
    </w:p>
    <w:p>
      <w:pPr>
        <w:rPr>
          <w:rFonts w:hint="eastAsia"/>
          <w:lang w:val="en-US" w:eastAsia="zh-CN"/>
        </w:rPr>
      </w:pPr>
      <w:r>
        <w:rPr>
          <w:rFonts w:hint="eastAsia"/>
          <w:lang w:val="en-US" w:eastAsia="zh-CN"/>
        </w:rPr>
        <w:t xml:space="preserve">Besides the alternative 1, as the analysis given above, we also see some benefit to allow the determination of TA on UE side based on the available location information, thus we think it can still be studied in the future whether the alternative 2 can be used as a complement of alternative 1 to enable more precise TA management and reduce the load of paging. </w:t>
      </w:r>
    </w:p>
    <w:p>
      <w:pPr>
        <w:rPr>
          <w:rFonts w:hint="eastAsia"/>
          <w:lang w:val="en-US" w:eastAsia="zh-CN"/>
        </w:rPr>
      </w:pPr>
      <w:r>
        <w:rPr>
          <w:rFonts w:hint="eastAsia"/>
          <w:lang w:val="en-US" w:eastAsia="zh-CN"/>
        </w:rPr>
        <w:t>However, since the TA management is part of NAS function and the TA management is processed through NAS signaling, even though the alternative 2 is allowed (i.e. UE is allowed to determine the TA based on the location information maintained on UE side only), the UE will report its calculated TA through NAS signaling as well, and no clear impact can be identified from RAN2</w:t>
      </w:r>
      <w:r>
        <w:rPr>
          <w:rFonts w:hint="default"/>
          <w:lang w:val="en-US" w:eastAsia="zh-CN"/>
        </w:rPr>
        <w:t>’</w:t>
      </w:r>
      <w:r>
        <w:rPr>
          <w:rFonts w:hint="eastAsia"/>
          <w:lang w:val="en-US" w:eastAsia="zh-CN"/>
        </w:rPr>
        <w:t>s perspective. Also considering there is on-going discussion in SA2 on the NTN as well, and the TA management has already been identified as one of the key issues need to be addressed for NTN in TR 23.737 [2], we think the discussion on TA management can be left to SA2 and no optimization need to be discussed in RAN2 unless input is received from SA2.</w:t>
      </w:r>
    </w:p>
    <w:p>
      <w:pPr>
        <w:rPr>
          <w:rFonts w:hint="eastAsia"/>
          <w:b/>
          <w:bCs/>
          <w:lang w:val="en-US" w:eastAsia="zh-CN"/>
        </w:rPr>
      </w:pPr>
      <w:r>
        <w:rPr>
          <w:rFonts w:hint="eastAsia"/>
          <w:b/>
          <w:bCs/>
          <w:lang w:val="en-US" w:eastAsia="zh-CN"/>
        </w:rPr>
        <w:t>Observation 2: Since the TA management is part of NAS function, and the TA management has already been identified as one of the key issues need to be addressed for NTN in SA2 (TR 23.737 [2]), in order to avoid parallel discussion, the issue related to TA management can be left to SA2.</w:t>
      </w:r>
    </w:p>
    <w:p>
      <w:pPr>
        <w:rPr>
          <w:rFonts w:hint="eastAsia"/>
          <w:b/>
          <w:bCs/>
          <w:lang w:val="en-US" w:eastAsia="zh-CN"/>
        </w:rPr>
      </w:pPr>
      <w:r>
        <w:rPr>
          <w:rFonts w:hint="eastAsia"/>
          <w:b/>
          <w:bCs/>
          <w:lang w:val="en-US" w:eastAsia="zh-CN"/>
        </w:rPr>
        <w:t>Proposal 3: The discussion on TA management can be left to SA2 and no optimization needs to be discussed in RAN2 unless input from SA2 is received.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Conclusion</w:t>
      </w:r>
    </w:p>
    <w:p>
      <w:pPr>
        <w:rPr>
          <w:rFonts w:hint="eastAsia"/>
          <w:lang w:val="en-US" w:eastAsia="zh-CN"/>
        </w:rPr>
      </w:pPr>
      <w:r>
        <w:rPr>
          <w:rFonts w:hint="eastAsia"/>
          <w:lang w:val="en-US" w:eastAsia="zh-CN"/>
        </w:rPr>
        <w:t>Based on the analysis above, some observations and proposals are summarized as follow:</w:t>
      </w:r>
    </w:p>
    <w:p>
      <w:pPr>
        <w:rPr>
          <w:rFonts w:hint="eastAsia"/>
          <w:b w:val="0"/>
          <w:bCs w:val="0"/>
          <w:i/>
          <w:iCs/>
          <w:lang w:val="en-US" w:eastAsia="zh-CN"/>
        </w:rPr>
      </w:pPr>
      <w:r>
        <w:rPr>
          <w:rFonts w:hint="eastAsia"/>
          <w:b w:val="0"/>
          <w:bCs w:val="0"/>
          <w:i/>
          <w:iCs/>
          <w:lang w:val="en-US" w:eastAsia="zh-CN"/>
        </w:rPr>
        <w:t>Observation 1: For the case of “Moving beams” (i.e. For scenarios C2 and D2, in which case the beams move with the satellite), the TA associated with the NTN cell will be changed dynamically along with the movement of the satellite.</w:t>
      </w:r>
    </w:p>
    <w:p>
      <w:pPr>
        <w:rPr>
          <w:rFonts w:hint="eastAsia"/>
          <w:b/>
          <w:bCs/>
          <w:lang w:val="en-US" w:eastAsia="zh-CN"/>
        </w:rPr>
      </w:pPr>
      <w:r>
        <w:rPr>
          <w:rFonts w:hint="eastAsia"/>
          <w:b/>
          <w:bCs/>
          <w:lang w:val="en-US" w:eastAsia="zh-CN"/>
        </w:rPr>
        <w:t>Proposal 1: For the NTN scenario, the UE should be able to work in case there is no available location information on UE side (e.g. only one NTN satellite is visible to UE, no GNSS/NTN satellites used for positioning is available).</w:t>
      </w:r>
    </w:p>
    <w:p>
      <w:pPr>
        <w:rPr>
          <w:b/>
          <w:bCs/>
          <w:sz w:val="22"/>
          <w:szCs w:val="28"/>
        </w:rPr>
      </w:pPr>
      <w:r>
        <w:rPr>
          <w:rFonts w:hint="eastAsia"/>
          <w:b/>
          <w:bCs/>
          <w:lang w:val="en-US" w:eastAsia="zh-CN"/>
        </w:rPr>
        <w:t>Proposal 2: The UE should be able to determine the TA based on the information received in SIB1. And the TA information should still be included in the SIB1 in NTN for both fixed beam case and moving beam case.</w:t>
      </w:r>
    </w:p>
    <w:p>
      <w:pPr>
        <w:rPr>
          <w:rFonts w:hint="eastAsia"/>
          <w:b w:val="0"/>
          <w:bCs w:val="0"/>
          <w:i/>
          <w:iCs/>
          <w:lang w:val="en-US" w:eastAsia="zh-CN"/>
        </w:rPr>
      </w:pPr>
      <w:r>
        <w:rPr>
          <w:rFonts w:hint="eastAsia"/>
          <w:b w:val="0"/>
          <w:bCs w:val="0"/>
          <w:i/>
          <w:iCs/>
          <w:lang w:val="en-US" w:eastAsia="zh-CN"/>
        </w:rPr>
        <w:t>Observation 2: Since the TA management is part of NAS function, and the TA management has already been identified as one of the key issues need to be addressed for NTN in SA2 (TR 23.737 [2]), in order to avoid parallel discussion, the issue related to TA management can be left to SA2.</w:t>
      </w:r>
    </w:p>
    <w:p>
      <w:pPr>
        <w:rPr>
          <w:b/>
          <w:bCs/>
          <w:sz w:val="22"/>
          <w:szCs w:val="28"/>
        </w:rPr>
      </w:pPr>
      <w:r>
        <w:rPr>
          <w:rFonts w:hint="eastAsia"/>
          <w:b/>
          <w:bCs/>
          <w:lang w:val="en-US" w:eastAsia="zh-CN"/>
        </w:rPr>
        <w:t>Proposal 3: The discussion on TA management can be left to SA2 and no optimization need to be discussed in RAN2 unless input from SA2 is received.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7"/>
        <w:numPr>
          <w:ilvl w:val="0"/>
          <w:numId w:val="6"/>
        </w:numPr>
        <w:ind w:firstLineChars="0"/>
        <w:rPr>
          <w:szCs w:val="22"/>
          <w:lang w:val="en-GB"/>
        </w:rPr>
      </w:pPr>
      <w:r>
        <w:rPr>
          <w:rFonts w:hint="eastAsia"/>
          <w:lang w:val="en-US" w:eastAsia="zh-CN"/>
        </w:rPr>
        <w:t>TR 38.821 Solutions for NR to support non-terrestrial networks (NTN)</w:t>
      </w:r>
    </w:p>
    <w:p>
      <w:pPr>
        <w:pStyle w:val="67"/>
        <w:numPr>
          <w:ilvl w:val="0"/>
          <w:numId w:val="6"/>
        </w:numPr>
        <w:ind w:firstLineChars="0"/>
        <w:rPr>
          <w:szCs w:val="22"/>
          <w:lang w:val="en-GB"/>
        </w:rPr>
      </w:pPr>
      <w:r>
        <w:rPr>
          <w:rFonts w:hint="eastAsia"/>
          <w:szCs w:val="22"/>
          <w:lang w:val="en-US" w:eastAsia="zh-CN"/>
        </w:rPr>
        <w:t xml:space="preserve">TR 23.737 </w:t>
      </w:r>
      <w:r>
        <w:rPr>
          <w:rFonts w:hint="eastAsia"/>
          <w:szCs w:val="22"/>
          <w:lang w:val="en-GB"/>
        </w:rPr>
        <w:t>Study on architecture aspects for using satellite access in 5G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ascii="Arial" w:hAnsi="Arial" w:cs="Arial"/>
          <w:b w:val="0"/>
          <w:bCs w:val="0"/>
          <w:kern w:val="0"/>
          <w:sz w:val="32"/>
          <w:szCs w:val="36"/>
          <w:lang w:val="en-US" w:eastAsia="zh-CN"/>
        </w:rPr>
      </w:pPr>
      <w:r>
        <w:rPr>
          <w:rFonts w:hint="eastAsia" w:ascii="Arial" w:hAnsi="Arial" w:cs="Arial"/>
          <w:b w:val="0"/>
          <w:bCs w:val="0"/>
          <w:kern w:val="0"/>
          <w:sz w:val="32"/>
          <w:szCs w:val="36"/>
          <w:lang w:val="en-US" w:eastAsia="zh-CN"/>
        </w:rPr>
        <w:t xml:space="preserve">Annex A </w:t>
      </w:r>
      <w:r>
        <w:rPr>
          <w:rFonts w:ascii="Arial" w:hAnsi="Arial" w:cs="Arial"/>
          <w:b w:val="0"/>
          <w:bCs w:val="0"/>
          <w:kern w:val="0"/>
          <w:sz w:val="32"/>
          <w:szCs w:val="36"/>
        </w:rPr>
        <w:t>Non-Terrestrial Networks reference scenarios</w:t>
      </w:r>
      <w:r>
        <w:rPr>
          <w:rFonts w:hint="eastAsia" w:ascii="Arial" w:hAnsi="Arial" w:cs="Arial"/>
          <w:b w:val="0"/>
          <w:bCs w:val="0"/>
          <w:kern w:val="0"/>
          <w:sz w:val="32"/>
          <w:szCs w:val="36"/>
          <w:lang w:val="en-US" w:eastAsia="zh-CN"/>
        </w:rPr>
        <w:t xml:space="preserve"> (38.821)</w:t>
      </w:r>
    </w:p>
    <w:p>
      <w:pPr>
        <w:keepNext/>
        <w:keepLines/>
        <w:spacing w:before="180" w:after="180"/>
        <w:ind w:left="1134" w:hanging="1134"/>
        <w:outlineLvl w:val="1"/>
        <w:rPr>
          <w:rFonts w:hint="default"/>
          <w:sz w:val="32"/>
        </w:rPr>
      </w:pPr>
      <w:bookmarkStart w:id="3" w:name="_Toc527965855"/>
      <w:r>
        <w:rPr>
          <w:rFonts w:hint="default"/>
          <w:sz w:val="32"/>
        </w:rPr>
        <w:t>8.1</w:t>
      </w:r>
      <w:r>
        <w:rPr>
          <w:rFonts w:hint="default"/>
          <w:sz w:val="32"/>
        </w:rPr>
        <w:tab/>
      </w:r>
      <w:r>
        <w:rPr>
          <w:rFonts w:hint="default"/>
          <w:sz w:val="32"/>
        </w:rPr>
        <w:t>Tracking area management (FFS)</w:t>
      </w:r>
      <w:bookmarkEnd w:id="3"/>
    </w:p>
    <w:p>
      <w:pPr>
        <w:rPr>
          <w:lang w:eastAsia="ja-JP"/>
        </w:rPr>
      </w:pPr>
      <w:r>
        <w:rPr>
          <w:lang w:eastAsia="ja-JP"/>
        </w:rPr>
        <w:t>The concept of Registration and Tracking areas pertains in the context of Non-Terrestrial networks, and is similar to NR based cellular system in following aspects:</w:t>
      </w:r>
    </w:p>
    <w:p>
      <w:pPr>
        <w:numPr>
          <w:ilvl w:val="0"/>
          <w:numId w:val="7"/>
        </w:numPr>
        <w:spacing w:after="0"/>
        <w:jc w:val="both"/>
        <w:rPr>
          <w:highlight w:val="yellow"/>
          <w:lang w:eastAsia="ja-JP"/>
        </w:rPr>
      </w:pPr>
      <w:r>
        <w:rPr>
          <w:highlight w:val="yellow"/>
          <w:lang w:eastAsia="ja-JP"/>
        </w:rPr>
        <w:t>a tracking area corresponds to a fixed geographical area.</w:t>
      </w:r>
    </w:p>
    <w:p>
      <w:pPr>
        <w:numPr>
          <w:ilvl w:val="0"/>
          <w:numId w:val="7"/>
        </w:numPr>
        <w:spacing w:after="0"/>
        <w:jc w:val="both"/>
        <w:rPr>
          <w:lang w:eastAsia="ja-JP"/>
        </w:rPr>
      </w:pPr>
      <w:r>
        <w:rPr>
          <w:lang w:eastAsia="ja-JP"/>
        </w:rPr>
        <w:t>tracking areas (TA) is utilized for UE access control, location registration, paging and mobility management.</w:t>
      </w:r>
    </w:p>
    <w:p>
      <w:pPr>
        <w:numPr>
          <w:ilvl w:val="0"/>
          <w:numId w:val="7"/>
        </w:numPr>
        <w:spacing w:after="0"/>
        <w:jc w:val="both"/>
        <w:rPr>
          <w:lang w:eastAsia="ja-JP"/>
        </w:rPr>
      </w:pPr>
      <w:r>
        <w:rPr>
          <w:lang w:eastAsia="ja-JP"/>
        </w:rPr>
        <w:t>a registration area encompasses one or several tracking areas.</w:t>
      </w:r>
    </w:p>
    <w:p>
      <w:pPr>
        <w:rPr>
          <w:lang w:eastAsia="ja-JP"/>
        </w:rPr>
      </w:pPr>
      <w:r>
        <w:rPr>
          <w:lang w:eastAsia="ja-JP"/>
        </w:rPr>
        <w:t>The objective is to track the UE, in order to minimize the use of radio resources for paging.</w:t>
      </w:r>
    </w:p>
    <w:p>
      <w:pPr>
        <w:numPr>
          <w:ilvl w:val="0"/>
          <w:numId w:val="4"/>
        </w:numPr>
        <w:spacing w:after="0"/>
        <w:jc w:val="both"/>
        <w:rPr>
          <w:lang w:eastAsia="ja-JP"/>
        </w:rPr>
      </w:pPr>
      <w:r>
        <w:rPr>
          <w:lang w:eastAsia="ja-JP"/>
        </w:rPr>
        <w:t>For scenarios A, B, C1 and D1, the NTN cells are fixed on the ground. Hence a tracking area may correspond to one or several NTN cells. The 3GPP-defined tracking area management and paging procedures can apply as is.</w:t>
      </w:r>
    </w:p>
    <w:p>
      <w:pPr>
        <w:numPr>
          <w:ilvl w:val="0"/>
          <w:numId w:val="4"/>
        </w:numPr>
        <w:spacing w:after="0"/>
        <w:jc w:val="both"/>
        <w:rPr>
          <w:highlight w:val="yellow"/>
          <w:lang w:eastAsia="ja-JP"/>
        </w:rPr>
      </w:pPr>
      <w:r>
        <w:rPr>
          <w:highlight w:val="yellow"/>
          <w:lang w:eastAsia="ja-JP"/>
        </w:rPr>
        <w:t>For scenarios C2 and D2, the NTN cells move on the ground as the satellites move on their orbital planes. This requires some adaptations to the TA management and paging procedure.</w:t>
      </w:r>
    </w:p>
    <w:p>
      <w:pPr>
        <w:rPr>
          <w:lang w:eastAsia="ja-JP"/>
        </w:rPr>
      </w:pPr>
      <w:r>
        <w:rPr>
          <w:lang w:eastAsia="ja-JP"/>
        </w:rPr>
        <w:t>Note: For scenarios C1, the TA list and paging messages could be sent by the same gNB to the NTN cell via all satellites covering this NTN cell.</w:t>
      </w:r>
    </w:p>
    <w:p>
      <w:pPr>
        <w:rPr>
          <w:lang w:eastAsia="ja-JP"/>
        </w:rPr>
      </w:pPr>
      <w:r>
        <w:rPr>
          <w:lang w:eastAsia="ja-JP"/>
        </w:rPr>
        <w:t>Note: For scenarios D1, the TA list and paging messages could be sent by the gNB on board all satellites covering this NTN cell.</w:t>
      </w:r>
    </w:p>
    <w:p>
      <w:pPr>
        <w:rPr>
          <w:lang w:eastAsia="ja-JP"/>
        </w:rPr>
      </w:pPr>
      <w:r>
        <w:rPr>
          <w:lang w:eastAsia="ja-JP"/>
        </w:rPr>
        <w:t>Hence we shall focus the study on scenario C2 and D2 for the idle/inactive mode mobility.</w:t>
      </w:r>
    </w:p>
    <w:p>
      <w:pPr>
        <w:rPr>
          <w:lang w:eastAsia="ja-JP"/>
        </w:rPr>
      </w:pPr>
      <w:r>
        <w:rPr>
          <w:lang w:eastAsia="ja-JP"/>
        </w:rPr>
        <w:t>The main idea is to decouple the TA management from the NTN cell pattern. In that case, registration and tracking areas are arbitrary geographical areas defined by the operator. (FFS)</w:t>
      </w:r>
    </w:p>
    <w:p>
      <w:pPr>
        <w:rPr>
          <w:lang w:eastAsia="ja-JP"/>
        </w:rPr>
      </w:pPr>
      <w:r>
        <w:rPr>
          <w:lang w:eastAsia="ja-JP"/>
        </w:rPr>
        <w:t>It is assumed that not all UEs are capable of positioning.</w:t>
      </w:r>
    </w:p>
    <w:p>
      <w:pPr>
        <w:pStyle w:val="67"/>
        <w:ind w:firstLine="0" w:firstLineChars="0"/>
        <w:rPr>
          <w:szCs w:val="22"/>
          <w:lang w:val="en-GB"/>
        </w:rPr>
      </w:pPr>
    </w:p>
    <w:sectPr>
      <w:headerReference r:id="rId3" w:type="default"/>
      <w:footerReference r:id="rId4" w:type="default"/>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entury">
    <w:panose1 w:val="02040604050505020304"/>
    <w:charset w:val="00"/>
    <w:family w:val="roman"/>
    <w:pitch w:val="default"/>
    <w:sig w:usb0="00000287" w:usb1="000000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10496"/>
    <w:multiLevelType w:val="singleLevel"/>
    <w:tmpl w:val="AB310496"/>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4EE10F8"/>
    <w:multiLevelType w:val="multilevel"/>
    <w:tmpl w:val="14EE10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1DD36723"/>
    <w:multiLevelType w:val="multilevel"/>
    <w:tmpl w:val="1DD367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5A233E2"/>
    <w:multiLevelType w:val="multilevel"/>
    <w:tmpl w:val="35A233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2"/>
  </w:num>
  <w:num w:numId="4">
    <w:abstractNumId w:val="5"/>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1BBE"/>
    <w:rsid w:val="00011CDF"/>
    <w:rsid w:val="00013FAD"/>
    <w:rsid w:val="000172F4"/>
    <w:rsid w:val="00017BA5"/>
    <w:rsid w:val="00021259"/>
    <w:rsid w:val="00021359"/>
    <w:rsid w:val="0002389B"/>
    <w:rsid w:val="000248FC"/>
    <w:rsid w:val="00025FF3"/>
    <w:rsid w:val="0002660A"/>
    <w:rsid w:val="00026899"/>
    <w:rsid w:val="0002698B"/>
    <w:rsid w:val="00035EF9"/>
    <w:rsid w:val="00037973"/>
    <w:rsid w:val="00040A63"/>
    <w:rsid w:val="0004105F"/>
    <w:rsid w:val="00042E6F"/>
    <w:rsid w:val="00043923"/>
    <w:rsid w:val="00054537"/>
    <w:rsid w:val="000563ED"/>
    <w:rsid w:val="000569AB"/>
    <w:rsid w:val="00057C9C"/>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6C3C"/>
    <w:rsid w:val="00187FEF"/>
    <w:rsid w:val="00190A8D"/>
    <w:rsid w:val="001917BC"/>
    <w:rsid w:val="00194A61"/>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1E4"/>
    <w:rsid w:val="001C0CED"/>
    <w:rsid w:val="001C1105"/>
    <w:rsid w:val="001C17C6"/>
    <w:rsid w:val="001C22DE"/>
    <w:rsid w:val="001C3C4C"/>
    <w:rsid w:val="001D2914"/>
    <w:rsid w:val="001D2FB0"/>
    <w:rsid w:val="001D4420"/>
    <w:rsid w:val="001D729B"/>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057"/>
    <w:rsid w:val="0023029F"/>
    <w:rsid w:val="00230BCA"/>
    <w:rsid w:val="00231281"/>
    <w:rsid w:val="002314CB"/>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B7A5E"/>
    <w:rsid w:val="002C0864"/>
    <w:rsid w:val="002C0F12"/>
    <w:rsid w:val="002C3873"/>
    <w:rsid w:val="002C4649"/>
    <w:rsid w:val="002D00AA"/>
    <w:rsid w:val="002D044D"/>
    <w:rsid w:val="002D0F0A"/>
    <w:rsid w:val="002D35FA"/>
    <w:rsid w:val="002D3797"/>
    <w:rsid w:val="002D4A6A"/>
    <w:rsid w:val="002D6461"/>
    <w:rsid w:val="002D650F"/>
    <w:rsid w:val="002D6E18"/>
    <w:rsid w:val="002D7FBA"/>
    <w:rsid w:val="002E002E"/>
    <w:rsid w:val="002E28F9"/>
    <w:rsid w:val="002E7525"/>
    <w:rsid w:val="002F01CA"/>
    <w:rsid w:val="002F029C"/>
    <w:rsid w:val="002F0FB2"/>
    <w:rsid w:val="002F1163"/>
    <w:rsid w:val="002F3161"/>
    <w:rsid w:val="002F5517"/>
    <w:rsid w:val="003005AF"/>
    <w:rsid w:val="00301205"/>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234C"/>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A68"/>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3974"/>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A6B71"/>
    <w:rsid w:val="004B2B05"/>
    <w:rsid w:val="004B2BBA"/>
    <w:rsid w:val="004B609F"/>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68E7"/>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152"/>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76522"/>
    <w:rsid w:val="005842C1"/>
    <w:rsid w:val="00585E04"/>
    <w:rsid w:val="00586C7E"/>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5732"/>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02B5"/>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45D1"/>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6C9F"/>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0D5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391A"/>
    <w:rsid w:val="00884241"/>
    <w:rsid w:val="008855E2"/>
    <w:rsid w:val="00886521"/>
    <w:rsid w:val="008937A3"/>
    <w:rsid w:val="0089509A"/>
    <w:rsid w:val="008A4FE1"/>
    <w:rsid w:val="008A5E28"/>
    <w:rsid w:val="008A6A82"/>
    <w:rsid w:val="008B4198"/>
    <w:rsid w:val="008B4609"/>
    <w:rsid w:val="008B56E7"/>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0880"/>
    <w:rsid w:val="008F1092"/>
    <w:rsid w:val="008F2453"/>
    <w:rsid w:val="008F34E9"/>
    <w:rsid w:val="008F5CD0"/>
    <w:rsid w:val="008F671D"/>
    <w:rsid w:val="008F694E"/>
    <w:rsid w:val="00901267"/>
    <w:rsid w:val="00902701"/>
    <w:rsid w:val="00902833"/>
    <w:rsid w:val="009039E2"/>
    <w:rsid w:val="009063B9"/>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167"/>
    <w:rsid w:val="00954F42"/>
    <w:rsid w:val="009568D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619E"/>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9"/>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2B92"/>
    <w:rsid w:val="009F3D12"/>
    <w:rsid w:val="009F4ECE"/>
    <w:rsid w:val="00A00C20"/>
    <w:rsid w:val="00A01159"/>
    <w:rsid w:val="00A035AF"/>
    <w:rsid w:val="00A03B8C"/>
    <w:rsid w:val="00A03D3F"/>
    <w:rsid w:val="00A04BEB"/>
    <w:rsid w:val="00A04DE2"/>
    <w:rsid w:val="00A0577F"/>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16E4"/>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1DEB"/>
    <w:rsid w:val="00AD2407"/>
    <w:rsid w:val="00AD62D8"/>
    <w:rsid w:val="00AD6CF3"/>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3B69"/>
    <w:rsid w:val="00B55CF3"/>
    <w:rsid w:val="00B6461C"/>
    <w:rsid w:val="00B670CE"/>
    <w:rsid w:val="00B67B79"/>
    <w:rsid w:val="00B67E74"/>
    <w:rsid w:val="00B7195D"/>
    <w:rsid w:val="00B82234"/>
    <w:rsid w:val="00B8283E"/>
    <w:rsid w:val="00B837AA"/>
    <w:rsid w:val="00B85E5A"/>
    <w:rsid w:val="00B87D03"/>
    <w:rsid w:val="00B909E8"/>
    <w:rsid w:val="00B91E65"/>
    <w:rsid w:val="00B928EE"/>
    <w:rsid w:val="00B92AD5"/>
    <w:rsid w:val="00B94BA4"/>
    <w:rsid w:val="00B97DB5"/>
    <w:rsid w:val="00BA11AD"/>
    <w:rsid w:val="00BA2E0A"/>
    <w:rsid w:val="00BA69FF"/>
    <w:rsid w:val="00BB156E"/>
    <w:rsid w:val="00BB1EFD"/>
    <w:rsid w:val="00BB3ABA"/>
    <w:rsid w:val="00BB4FEC"/>
    <w:rsid w:val="00BB65B1"/>
    <w:rsid w:val="00BB69D5"/>
    <w:rsid w:val="00BC03E1"/>
    <w:rsid w:val="00BC3ADF"/>
    <w:rsid w:val="00BC4593"/>
    <w:rsid w:val="00BC7413"/>
    <w:rsid w:val="00BD05BF"/>
    <w:rsid w:val="00BD0646"/>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96C00"/>
    <w:rsid w:val="00CA0363"/>
    <w:rsid w:val="00CA06A4"/>
    <w:rsid w:val="00CA127C"/>
    <w:rsid w:val="00CA501F"/>
    <w:rsid w:val="00CA59FA"/>
    <w:rsid w:val="00CA61CF"/>
    <w:rsid w:val="00CB1749"/>
    <w:rsid w:val="00CB3A9F"/>
    <w:rsid w:val="00CB5048"/>
    <w:rsid w:val="00CC10DA"/>
    <w:rsid w:val="00CC17CA"/>
    <w:rsid w:val="00CC43B7"/>
    <w:rsid w:val="00CC46C5"/>
    <w:rsid w:val="00CD229F"/>
    <w:rsid w:val="00CD6992"/>
    <w:rsid w:val="00CE13DD"/>
    <w:rsid w:val="00CE2D1F"/>
    <w:rsid w:val="00CE52F0"/>
    <w:rsid w:val="00CF18A3"/>
    <w:rsid w:val="00CF1DDB"/>
    <w:rsid w:val="00CF356A"/>
    <w:rsid w:val="00CF4A61"/>
    <w:rsid w:val="00CF7BAA"/>
    <w:rsid w:val="00D029CB"/>
    <w:rsid w:val="00D04274"/>
    <w:rsid w:val="00D05A8B"/>
    <w:rsid w:val="00D05E75"/>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0D3E"/>
    <w:rsid w:val="00DD100B"/>
    <w:rsid w:val="00DD42F9"/>
    <w:rsid w:val="00DD6E72"/>
    <w:rsid w:val="00DE1B4A"/>
    <w:rsid w:val="00DE2CFF"/>
    <w:rsid w:val="00DE3330"/>
    <w:rsid w:val="00DE5939"/>
    <w:rsid w:val="00DF44C8"/>
    <w:rsid w:val="00DF4CBC"/>
    <w:rsid w:val="00DF5370"/>
    <w:rsid w:val="00DF5561"/>
    <w:rsid w:val="00E0032E"/>
    <w:rsid w:val="00E0205D"/>
    <w:rsid w:val="00E02703"/>
    <w:rsid w:val="00E1018A"/>
    <w:rsid w:val="00E120F4"/>
    <w:rsid w:val="00E153F6"/>
    <w:rsid w:val="00E15F7E"/>
    <w:rsid w:val="00E173DF"/>
    <w:rsid w:val="00E20BED"/>
    <w:rsid w:val="00E231A7"/>
    <w:rsid w:val="00E27FC2"/>
    <w:rsid w:val="00E30787"/>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209"/>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6256"/>
    <w:rsid w:val="00EC7D8F"/>
    <w:rsid w:val="00EC7E1A"/>
    <w:rsid w:val="00ED09F7"/>
    <w:rsid w:val="00ED0F55"/>
    <w:rsid w:val="00ED19A4"/>
    <w:rsid w:val="00ED2560"/>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14EA1"/>
    <w:rsid w:val="00F21742"/>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4933"/>
    <w:rsid w:val="00F5653F"/>
    <w:rsid w:val="00F56A1B"/>
    <w:rsid w:val="00F577D9"/>
    <w:rsid w:val="00F579D8"/>
    <w:rsid w:val="00F6079F"/>
    <w:rsid w:val="00F64EA5"/>
    <w:rsid w:val="00F66A3D"/>
    <w:rsid w:val="00F66DF3"/>
    <w:rsid w:val="00F67618"/>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0E4"/>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53A6F"/>
    <w:rsid w:val="01060B16"/>
    <w:rsid w:val="01142F93"/>
    <w:rsid w:val="01164030"/>
    <w:rsid w:val="011702DE"/>
    <w:rsid w:val="011835D0"/>
    <w:rsid w:val="011B7B2E"/>
    <w:rsid w:val="01220F86"/>
    <w:rsid w:val="01276E18"/>
    <w:rsid w:val="012B6602"/>
    <w:rsid w:val="012D5FD4"/>
    <w:rsid w:val="013B116A"/>
    <w:rsid w:val="014000E8"/>
    <w:rsid w:val="01422D32"/>
    <w:rsid w:val="014D3AA5"/>
    <w:rsid w:val="014D7041"/>
    <w:rsid w:val="015159EC"/>
    <w:rsid w:val="017076A2"/>
    <w:rsid w:val="01767489"/>
    <w:rsid w:val="017A3700"/>
    <w:rsid w:val="017D0BB3"/>
    <w:rsid w:val="018B295B"/>
    <w:rsid w:val="01913CCA"/>
    <w:rsid w:val="01982856"/>
    <w:rsid w:val="019850FC"/>
    <w:rsid w:val="019F304C"/>
    <w:rsid w:val="01AE3B73"/>
    <w:rsid w:val="01B9760B"/>
    <w:rsid w:val="01CD5977"/>
    <w:rsid w:val="01D90008"/>
    <w:rsid w:val="01E213D7"/>
    <w:rsid w:val="020154C7"/>
    <w:rsid w:val="02020DFC"/>
    <w:rsid w:val="0224054F"/>
    <w:rsid w:val="02295542"/>
    <w:rsid w:val="022C28DB"/>
    <w:rsid w:val="023933DA"/>
    <w:rsid w:val="0239697F"/>
    <w:rsid w:val="02403291"/>
    <w:rsid w:val="024C3B65"/>
    <w:rsid w:val="024C50F6"/>
    <w:rsid w:val="02574EE1"/>
    <w:rsid w:val="026318FE"/>
    <w:rsid w:val="026F629B"/>
    <w:rsid w:val="02817857"/>
    <w:rsid w:val="028A67A0"/>
    <w:rsid w:val="028D1CC5"/>
    <w:rsid w:val="029B606A"/>
    <w:rsid w:val="029F5EEC"/>
    <w:rsid w:val="02A404F8"/>
    <w:rsid w:val="02AC4064"/>
    <w:rsid w:val="02AD0B1F"/>
    <w:rsid w:val="02AF35E7"/>
    <w:rsid w:val="02B4584F"/>
    <w:rsid w:val="02B775B3"/>
    <w:rsid w:val="02C62E55"/>
    <w:rsid w:val="030A1A7D"/>
    <w:rsid w:val="030C3441"/>
    <w:rsid w:val="030D10A2"/>
    <w:rsid w:val="03173A35"/>
    <w:rsid w:val="03202434"/>
    <w:rsid w:val="033763DC"/>
    <w:rsid w:val="036055D1"/>
    <w:rsid w:val="03846498"/>
    <w:rsid w:val="03B07E84"/>
    <w:rsid w:val="03EB6E94"/>
    <w:rsid w:val="04067142"/>
    <w:rsid w:val="04203B05"/>
    <w:rsid w:val="044150C2"/>
    <w:rsid w:val="04452E11"/>
    <w:rsid w:val="044C1A52"/>
    <w:rsid w:val="04572460"/>
    <w:rsid w:val="04752D2B"/>
    <w:rsid w:val="04795880"/>
    <w:rsid w:val="048F4087"/>
    <w:rsid w:val="04921429"/>
    <w:rsid w:val="049D5316"/>
    <w:rsid w:val="04CD3143"/>
    <w:rsid w:val="04D36CCF"/>
    <w:rsid w:val="04DF5B3A"/>
    <w:rsid w:val="04E21495"/>
    <w:rsid w:val="05002E1C"/>
    <w:rsid w:val="050C31AF"/>
    <w:rsid w:val="050F0B0A"/>
    <w:rsid w:val="050F763E"/>
    <w:rsid w:val="05127D1F"/>
    <w:rsid w:val="05174168"/>
    <w:rsid w:val="05176A71"/>
    <w:rsid w:val="05183286"/>
    <w:rsid w:val="05272BBE"/>
    <w:rsid w:val="053674E0"/>
    <w:rsid w:val="05413D92"/>
    <w:rsid w:val="0544139C"/>
    <w:rsid w:val="055106CC"/>
    <w:rsid w:val="05554F24"/>
    <w:rsid w:val="05566646"/>
    <w:rsid w:val="05587C2B"/>
    <w:rsid w:val="05692AD6"/>
    <w:rsid w:val="056A031B"/>
    <w:rsid w:val="056D39BD"/>
    <w:rsid w:val="05706812"/>
    <w:rsid w:val="05765DA0"/>
    <w:rsid w:val="05A83FE4"/>
    <w:rsid w:val="05C84427"/>
    <w:rsid w:val="05CE6506"/>
    <w:rsid w:val="05CF5923"/>
    <w:rsid w:val="05D1713F"/>
    <w:rsid w:val="05EA3D69"/>
    <w:rsid w:val="05F13BE9"/>
    <w:rsid w:val="06076CC8"/>
    <w:rsid w:val="06136726"/>
    <w:rsid w:val="062E6977"/>
    <w:rsid w:val="06406186"/>
    <w:rsid w:val="06515865"/>
    <w:rsid w:val="06531846"/>
    <w:rsid w:val="065A2B11"/>
    <w:rsid w:val="065A7F0C"/>
    <w:rsid w:val="066B2772"/>
    <w:rsid w:val="066E09E0"/>
    <w:rsid w:val="066E7630"/>
    <w:rsid w:val="0679150B"/>
    <w:rsid w:val="06801D8F"/>
    <w:rsid w:val="06AC02F9"/>
    <w:rsid w:val="06B968B0"/>
    <w:rsid w:val="06C10315"/>
    <w:rsid w:val="06C42F90"/>
    <w:rsid w:val="06D27ABC"/>
    <w:rsid w:val="06D63093"/>
    <w:rsid w:val="06DA1F04"/>
    <w:rsid w:val="06FA3DD4"/>
    <w:rsid w:val="07027A95"/>
    <w:rsid w:val="0706413A"/>
    <w:rsid w:val="07096627"/>
    <w:rsid w:val="07096958"/>
    <w:rsid w:val="070A7F50"/>
    <w:rsid w:val="07183FB0"/>
    <w:rsid w:val="0719400C"/>
    <w:rsid w:val="072047AB"/>
    <w:rsid w:val="07226FD6"/>
    <w:rsid w:val="07246DDE"/>
    <w:rsid w:val="0729086D"/>
    <w:rsid w:val="073239FB"/>
    <w:rsid w:val="07324875"/>
    <w:rsid w:val="07387A0E"/>
    <w:rsid w:val="0779455A"/>
    <w:rsid w:val="07923814"/>
    <w:rsid w:val="07A65C26"/>
    <w:rsid w:val="07AA25BB"/>
    <w:rsid w:val="07B47F2F"/>
    <w:rsid w:val="07BB441A"/>
    <w:rsid w:val="07BE2890"/>
    <w:rsid w:val="07C4242C"/>
    <w:rsid w:val="07C84D70"/>
    <w:rsid w:val="07F209D6"/>
    <w:rsid w:val="080106BC"/>
    <w:rsid w:val="08067173"/>
    <w:rsid w:val="080F633D"/>
    <w:rsid w:val="08110428"/>
    <w:rsid w:val="0813138F"/>
    <w:rsid w:val="0815408F"/>
    <w:rsid w:val="08186B81"/>
    <w:rsid w:val="08210598"/>
    <w:rsid w:val="08217470"/>
    <w:rsid w:val="08310456"/>
    <w:rsid w:val="08505A22"/>
    <w:rsid w:val="08555E5D"/>
    <w:rsid w:val="08690BF0"/>
    <w:rsid w:val="08835BA1"/>
    <w:rsid w:val="0890128D"/>
    <w:rsid w:val="0891628E"/>
    <w:rsid w:val="089D4E3B"/>
    <w:rsid w:val="089D7385"/>
    <w:rsid w:val="089E6C62"/>
    <w:rsid w:val="089F35A4"/>
    <w:rsid w:val="08A32251"/>
    <w:rsid w:val="08B525DB"/>
    <w:rsid w:val="08E33A5D"/>
    <w:rsid w:val="08E415D0"/>
    <w:rsid w:val="08EE2138"/>
    <w:rsid w:val="08F54145"/>
    <w:rsid w:val="08FB10BA"/>
    <w:rsid w:val="09115D3A"/>
    <w:rsid w:val="0924409B"/>
    <w:rsid w:val="09277723"/>
    <w:rsid w:val="093572DD"/>
    <w:rsid w:val="094855CE"/>
    <w:rsid w:val="0952269F"/>
    <w:rsid w:val="097C1512"/>
    <w:rsid w:val="098246C4"/>
    <w:rsid w:val="09877075"/>
    <w:rsid w:val="09A74F09"/>
    <w:rsid w:val="09C1228B"/>
    <w:rsid w:val="09C840B0"/>
    <w:rsid w:val="09D1363B"/>
    <w:rsid w:val="09DC2A55"/>
    <w:rsid w:val="09ED2DB7"/>
    <w:rsid w:val="09F16CD5"/>
    <w:rsid w:val="09F424EB"/>
    <w:rsid w:val="09F546E9"/>
    <w:rsid w:val="09F62E6F"/>
    <w:rsid w:val="09FF1520"/>
    <w:rsid w:val="0A121077"/>
    <w:rsid w:val="0A145369"/>
    <w:rsid w:val="0A242EC7"/>
    <w:rsid w:val="0A3F3ADD"/>
    <w:rsid w:val="0A4C66F5"/>
    <w:rsid w:val="0A520523"/>
    <w:rsid w:val="0A58657E"/>
    <w:rsid w:val="0A5E4C0D"/>
    <w:rsid w:val="0A7C7031"/>
    <w:rsid w:val="0A976F35"/>
    <w:rsid w:val="0A9C4945"/>
    <w:rsid w:val="0AA97A6D"/>
    <w:rsid w:val="0AAA0437"/>
    <w:rsid w:val="0AAE3C34"/>
    <w:rsid w:val="0AB454F7"/>
    <w:rsid w:val="0ABA6D6F"/>
    <w:rsid w:val="0ACF2E95"/>
    <w:rsid w:val="0AD176BB"/>
    <w:rsid w:val="0ADB2792"/>
    <w:rsid w:val="0ADC0C00"/>
    <w:rsid w:val="0ADC5745"/>
    <w:rsid w:val="0AE118B2"/>
    <w:rsid w:val="0AEB78A3"/>
    <w:rsid w:val="0AF957A7"/>
    <w:rsid w:val="0AFA6E82"/>
    <w:rsid w:val="0AFD59B0"/>
    <w:rsid w:val="0AFF1C5D"/>
    <w:rsid w:val="0B1537E9"/>
    <w:rsid w:val="0B2D55C6"/>
    <w:rsid w:val="0B300A0B"/>
    <w:rsid w:val="0B313160"/>
    <w:rsid w:val="0B3A1D48"/>
    <w:rsid w:val="0B3A6177"/>
    <w:rsid w:val="0B474A25"/>
    <w:rsid w:val="0B6625DE"/>
    <w:rsid w:val="0B7A0C11"/>
    <w:rsid w:val="0B7F323C"/>
    <w:rsid w:val="0B8C0B1D"/>
    <w:rsid w:val="0B8E01B3"/>
    <w:rsid w:val="0B98131B"/>
    <w:rsid w:val="0B9C2DCB"/>
    <w:rsid w:val="0BCA2FB1"/>
    <w:rsid w:val="0BDE36D9"/>
    <w:rsid w:val="0BF04DBB"/>
    <w:rsid w:val="0BF118B2"/>
    <w:rsid w:val="0C150296"/>
    <w:rsid w:val="0C1E225B"/>
    <w:rsid w:val="0C3E35A2"/>
    <w:rsid w:val="0C7350C6"/>
    <w:rsid w:val="0C840A7E"/>
    <w:rsid w:val="0C9874A4"/>
    <w:rsid w:val="0CA00818"/>
    <w:rsid w:val="0CAC5D93"/>
    <w:rsid w:val="0CB02557"/>
    <w:rsid w:val="0CCA3FFD"/>
    <w:rsid w:val="0CD00B5C"/>
    <w:rsid w:val="0CF868FE"/>
    <w:rsid w:val="0CFD74C3"/>
    <w:rsid w:val="0D02493D"/>
    <w:rsid w:val="0D0D08C3"/>
    <w:rsid w:val="0D0D29B9"/>
    <w:rsid w:val="0D4E3642"/>
    <w:rsid w:val="0D564CF8"/>
    <w:rsid w:val="0D6D666D"/>
    <w:rsid w:val="0D7D5373"/>
    <w:rsid w:val="0D9421CE"/>
    <w:rsid w:val="0D9E14AE"/>
    <w:rsid w:val="0D9F5D85"/>
    <w:rsid w:val="0DCF5E5F"/>
    <w:rsid w:val="0DD575F2"/>
    <w:rsid w:val="0DD74C1A"/>
    <w:rsid w:val="0DE658C5"/>
    <w:rsid w:val="0DE7427C"/>
    <w:rsid w:val="0DEC79F6"/>
    <w:rsid w:val="0DF02A80"/>
    <w:rsid w:val="0E0D56B2"/>
    <w:rsid w:val="0E0F1D72"/>
    <w:rsid w:val="0E0F1E19"/>
    <w:rsid w:val="0E1B3A75"/>
    <w:rsid w:val="0E28192B"/>
    <w:rsid w:val="0E29672C"/>
    <w:rsid w:val="0E3B3201"/>
    <w:rsid w:val="0E4932A7"/>
    <w:rsid w:val="0E4941AD"/>
    <w:rsid w:val="0E5C3E67"/>
    <w:rsid w:val="0E680384"/>
    <w:rsid w:val="0E6E26ED"/>
    <w:rsid w:val="0E6F6BE9"/>
    <w:rsid w:val="0E734B25"/>
    <w:rsid w:val="0E836D25"/>
    <w:rsid w:val="0E8556A3"/>
    <w:rsid w:val="0E8A09AC"/>
    <w:rsid w:val="0E8D03D6"/>
    <w:rsid w:val="0E930DC4"/>
    <w:rsid w:val="0E9721D9"/>
    <w:rsid w:val="0EA210F9"/>
    <w:rsid w:val="0EBB0693"/>
    <w:rsid w:val="0EC54718"/>
    <w:rsid w:val="0EC63785"/>
    <w:rsid w:val="0ED02050"/>
    <w:rsid w:val="0ED45D42"/>
    <w:rsid w:val="0ED90252"/>
    <w:rsid w:val="0ED930AB"/>
    <w:rsid w:val="0EEB4923"/>
    <w:rsid w:val="0EF05D44"/>
    <w:rsid w:val="0EF82D23"/>
    <w:rsid w:val="0F085EF8"/>
    <w:rsid w:val="0F2532AC"/>
    <w:rsid w:val="0F297350"/>
    <w:rsid w:val="0F332D96"/>
    <w:rsid w:val="0F35375E"/>
    <w:rsid w:val="0F3D762A"/>
    <w:rsid w:val="0F3E78F5"/>
    <w:rsid w:val="0F3F5327"/>
    <w:rsid w:val="0F4701C2"/>
    <w:rsid w:val="0F510834"/>
    <w:rsid w:val="0F5909F2"/>
    <w:rsid w:val="0F596B88"/>
    <w:rsid w:val="0F615893"/>
    <w:rsid w:val="0F696343"/>
    <w:rsid w:val="0F6D727E"/>
    <w:rsid w:val="0F7E451E"/>
    <w:rsid w:val="0F9B2E7C"/>
    <w:rsid w:val="0FA121E0"/>
    <w:rsid w:val="0FA30F3F"/>
    <w:rsid w:val="0FA90B55"/>
    <w:rsid w:val="0FDB3671"/>
    <w:rsid w:val="0FE10BC1"/>
    <w:rsid w:val="0FE80A0C"/>
    <w:rsid w:val="0FEE3026"/>
    <w:rsid w:val="0FFA4D1A"/>
    <w:rsid w:val="0FFF3B01"/>
    <w:rsid w:val="10046AD5"/>
    <w:rsid w:val="10220ACB"/>
    <w:rsid w:val="10250B94"/>
    <w:rsid w:val="10334AD4"/>
    <w:rsid w:val="10335795"/>
    <w:rsid w:val="10382293"/>
    <w:rsid w:val="103D77BC"/>
    <w:rsid w:val="104C1E99"/>
    <w:rsid w:val="104F3003"/>
    <w:rsid w:val="10534D62"/>
    <w:rsid w:val="105C754E"/>
    <w:rsid w:val="10753B56"/>
    <w:rsid w:val="10870262"/>
    <w:rsid w:val="10980FCC"/>
    <w:rsid w:val="109A3771"/>
    <w:rsid w:val="10AD1F54"/>
    <w:rsid w:val="10B056AD"/>
    <w:rsid w:val="10B2230B"/>
    <w:rsid w:val="10B41522"/>
    <w:rsid w:val="10B97101"/>
    <w:rsid w:val="10C1227D"/>
    <w:rsid w:val="10C60A35"/>
    <w:rsid w:val="10C95425"/>
    <w:rsid w:val="10CC221A"/>
    <w:rsid w:val="10DC499E"/>
    <w:rsid w:val="10E6621F"/>
    <w:rsid w:val="10F951B0"/>
    <w:rsid w:val="1117167F"/>
    <w:rsid w:val="111B74FA"/>
    <w:rsid w:val="11205C8D"/>
    <w:rsid w:val="11215E7D"/>
    <w:rsid w:val="112A395D"/>
    <w:rsid w:val="1136706E"/>
    <w:rsid w:val="113B307C"/>
    <w:rsid w:val="114866CA"/>
    <w:rsid w:val="115528AD"/>
    <w:rsid w:val="117B61E0"/>
    <w:rsid w:val="118F3834"/>
    <w:rsid w:val="11965A2F"/>
    <w:rsid w:val="11A24716"/>
    <w:rsid w:val="11B11AEA"/>
    <w:rsid w:val="11B758AF"/>
    <w:rsid w:val="11BA71ED"/>
    <w:rsid w:val="11BC489D"/>
    <w:rsid w:val="11CD23DE"/>
    <w:rsid w:val="11D77BC3"/>
    <w:rsid w:val="11D95B61"/>
    <w:rsid w:val="11EB69DF"/>
    <w:rsid w:val="11F33AF7"/>
    <w:rsid w:val="11F3733C"/>
    <w:rsid w:val="11F5187B"/>
    <w:rsid w:val="11F67276"/>
    <w:rsid w:val="12164442"/>
    <w:rsid w:val="12181025"/>
    <w:rsid w:val="12243521"/>
    <w:rsid w:val="122F0EFF"/>
    <w:rsid w:val="123015E0"/>
    <w:rsid w:val="12433C5F"/>
    <w:rsid w:val="124D307C"/>
    <w:rsid w:val="125809E2"/>
    <w:rsid w:val="125A3D5B"/>
    <w:rsid w:val="126146E7"/>
    <w:rsid w:val="1271004E"/>
    <w:rsid w:val="127652F2"/>
    <w:rsid w:val="127962E4"/>
    <w:rsid w:val="12A54CAD"/>
    <w:rsid w:val="12AD4043"/>
    <w:rsid w:val="12B14E49"/>
    <w:rsid w:val="12CD7AF0"/>
    <w:rsid w:val="12E41C72"/>
    <w:rsid w:val="12EA5838"/>
    <w:rsid w:val="12EB7D61"/>
    <w:rsid w:val="12EC535C"/>
    <w:rsid w:val="13005213"/>
    <w:rsid w:val="13193ED8"/>
    <w:rsid w:val="13225C68"/>
    <w:rsid w:val="13230D42"/>
    <w:rsid w:val="13352396"/>
    <w:rsid w:val="133D260C"/>
    <w:rsid w:val="13471A4F"/>
    <w:rsid w:val="1347734E"/>
    <w:rsid w:val="134E4986"/>
    <w:rsid w:val="135415EF"/>
    <w:rsid w:val="137640BD"/>
    <w:rsid w:val="13807B6E"/>
    <w:rsid w:val="13A35249"/>
    <w:rsid w:val="13AE3295"/>
    <w:rsid w:val="13C935D3"/>
    <w:rsid w:val="13D06B59"/>
    <w:rsid w:val="13E81E50"/>
    <w:rsid w:val="13EC63F8"/>
    <w:rsid w:val="13FA094C"/>
    <w:rsid w:val="13FC7D4A"/>
    <w:rsid w:val="13FE67FC"/>
    <w:rsid w:val="14036CCD"/>
    <w:rsid w:val="14080722"/>
    <w:rsid w:val="141C2EE7"/>
    <w:rsid w:val="143678DB"/>
    <w:rsid w:val="1437323D"/>
    <w:rsid w:val="14525D56"/>
    <w:rsid w:val="145C54A8"/>
    <w:rsid w:val="1488421A"/>
    <w:rsid w:val="149B1A9C"/>
    <w:rsid w:val="149C72CB"/>
    <w:rsid w:val="14BC46BD"/>
    <w:rsid w:val="14CC2AA6"/>
    <w:rsid w:val="14D16EA2"/>
    <w:rsid w:val="14DE74EC"/>
    <w:rsid w:val="14DF61F7"/>
    <w:rsid w:val="14EF731E"/>
    <w:rsid w:val="14F21AD3"/>
    <w:rsid w:val="14F81408"/>
    <w:rsid w:val="14FA49CB"/>
    <w:rsid w:val="15011785"/>
    <w:rsid w:val="155810A4"/>
    <w:rsid w:val="15593BFF"/>
    <w:rsid w:val="15691476"/>
    <w:rsid w:val="156F3E1F"/>
    <w:rsid w:val="158237E0"/>
    <w:rsid w:val="15823994"/>
    <w:rsid w:val="15845FDA"/>
    <w:rsid w:val="15896E25"/>
    <w:rsid w:val="15951987"/>
    <w:rsid w:val="159C2910"/>
    <w:rsid w:val="15AF2CC9"/>
    <w:rsid w:val="15B51BE7"/>
    <w:rsid w:val="15BA1823"/>
    <w:rsid w:val="15E47428"/>
    <w:rsid w:val="162D6E09"/>
    <w:rsid w:val="164C11AD"/>
    <w:rsid w:val="164F1A88"/>
    <w:rsid w:val="165B205C"/>
    <w:rsid w:val="16744071"/>
    <w:rsid w:val="167542E0"/>
    <w:rsid w:val="16797C99"/>
    <w:rsid w:val="167A0749"/>
    <w:rsid w:val="1680645E"/>
    <w:rsid w:val="169244FA"/>
    <w:rsid w:val="16A64AEE"/>
    <w:rsid w:val="16AB7A53"/>
    <w:rsid w:val="16AF7104"/>
    <w:rsid w:val="16B04D53"/>
    <w:rsid w:val="16B701D1"/>
    <w:rsid w:val="16B81E06"/>
    <w:rsid w:val="16C5588E"/>
    <w:rsid w:val="16E4706D"/>
    <w:rsid w:val="16EA1C73"/>
    <w:rsid w:val="1700150A"/>
    <w:rsid w:val="17022E98"/>
    <w:rsid w:val="1715033B"/>
    <w:rsid w:val="17157C0B"/>
    <w:rsid w:val="171E2689"/>
    <w:rsid w:val="17275E00"/>
    <w:rsid w:val="174A1BE7"/>
    <w:rsid w:val="175269F3"/>
    <w:rsid w:val="175965F5"/>
    <w:rsid w:val="17713F0C"/>
    <w:rsid w:val="177E1125"/>
    <w:rsid w:val="178D7F71"/>
    <w:rsid w:val="179C39AC"/>
    <w:rsid w:val="17AF6237"/>
    <w:rsid w:val="17B342BA"/>
    <w:rsid w:val="17C463D3"/>
    <w:rsid w:val="17DA591D"/>
    <w:rsid w:val="17F94986"/>
    <w:rsid w:val="17FF4999"/>
    <w:rsid w:val="180D79CF"/>
    <w:rsid w:val="182D0541"/>
    <w:rsid w:val="1830600E"/>
    <w:rsid w:val="18420E48"/>
    <w:rsid w:val="18423D8A"/>
    <w:rsid w:val="1867457F"/>
    <w:rsid w:val="186E3A7A"/>
    <w:rsid w:val="1876741D"/>
    <w:rsid w:val="18810092"/>
    <w:rsid w:val="18915230"/>
    <w:rsid w:val="18A42A8B"/>
    <w:rsid w:val="18AB0E68"/>
    <w:rsid w:val="18AD71FE"/>
    <w:rsid w:val="18B61883"/>
    <w:rsid w:val="18B61EF8"/>
    <w:rsid w:val="18B71752"/>
    <w:rsid w:val="18BF3F0D"/>
    <w:rsid w:val="18FC34F8"/>
    <w:rsid w:val="19016B93"/>
    <w:rsid w:val="190A6A57"/>
    <w:rsid w:val="19191116"/>
    <w:rsid w:val="19383D0E"/>
    <w:rsid w:val="193C06B7"/>
    <w:rsid w:val="19447EB2"/>
    <w:rsid w:val="194563B5"/>
    <w:rsid w:val="19601958"/>
    <w:rsid w:val="1964484F"/>
    <w:rsid w:val="196F1959"/>
    <w:rsid w:val="19792523"/>
    <w:rsid w:val="198548CE"/>
    <w:rsid w:val="19915903"/>
    <w:rsid w:val="19AB6F81"/>
    <w:rsid w:val="19AF3F0D"/>
    <w:rsid w:val="19B42977"/>
    <w:rsid w:val="19B51514"/>
    <w:rsid w:val="19BF3BC5"/>
    <w:rsid w:val="19C37B03"/>
    <w:rsid w:val="19CD7BF1"/>
    <w:rsid w:val="19CE4ED6"/>
    <w:rsid w:val="19D43DE1"/>
    <w:rsid w:val="19D81D9A"/>
    <w:rsid w:val="19E51A0D"/>
    <w:rsid w:val="19F52CD9"/>
    <w:rsid w:val="19F67D7F"/>
    <w:rsid w:val="19FA23DD"/>
    <w:rsid w:val="1A04773D"/>
    <w:rsid w:val="1A053691"/>
    <w:rsid w:val="1A0E6878"/>
    <w:rsid w:val="1A2847B1"/>
    <w:rsid w:val="1A296232"/>
    <w:rsid w:val="1A2D129C"/>
    <w:rsid w:val="1A2E5B68"/>
    <w:rsid w:val="1A301E5C"/>
    <w:rsid w:val="1A4E6151"/>
    <w:rsid w:val="1A543DC9"/>
    <w:rsid w:val="1A551391"/>
    <w:rsid w:val="1A595CA8"/>
    <w:rsid w:val="1A5F1566"/>
    <w:rsid w:val="1A693AB0"/>
    <w:rsid w:val="1A7A5D8E"/>
    <w:rsid w:val="1AA1145C"/>
    <w:rsid w:val="1AA70D3B"/>
    <w:rsid w:val="1AAD77DB"/>
    <w:rsid w:val="1AC8602F"/>
    <w:rsid w:val="1AE65CF7"/>
    <w:rsid w:val="1AEA7865"/>
    <w:rsid w:val="1AEC4507"/>
    <w:rsid w:val="1AF1566E"/>
    <w:rsid w:val="1AF2378F"/>
    <w:rsid w:val="1B077D27"/>
    <w:rsid w:val="1B087D50"/>
    <w:rsid w:val="1B0D78D7"/>
    <w:rsid w:val="1B0E7D9C"/>
    <w:rsid w:val="1B22513F"/>
    <w:rsid w:val="1B282E97"/>
    <w:rsid w:val="1B441055"/>
    <w:rsid w:val="1B4734C5"/>
    <w:rsid w:val="1B4C07B5"/>
    <w:rsid w:val="1B506252"/>
    <w:rsid w:val="1B52765C"/>
    <w:rsid w:val="1B5B1AEC"/>
    <w:rsid w:val="1B635C83"/>
    <w:rsid w:val="1B6C25E8"/>
    <w:rsid w:val="1B73190C"/>
    <w:rsid w:val="1B793426"/>
    <w:rsid w:val="1B7F4A7D"/>
    <w:rsid w:val="1B8A2061"/>
    <w:rsid w:val="1BAD159C"/>
    <w:rsid w:val="1BAE002F"/>
    <w:rsid w:val="1BAF3C6A"/>
    <w:rsid w:val="1BAF75A4"/>
    <w:rsid w:val="1BB70A06"/>
    <w:rsid w:val="1BC16D6D"/>
    <w:rsid w:val="1BC729B7"/>
    <w:rsid w:val="1BDA5C1E"/>
    <w:rsid w:val="1BE444D2"/>
    <w:rsid w:val="1BF01F44"/>
    <w:rsid w:val="1BFA0C60"/>
    <w:rsid w:val="1C056F8F"/>
    <w:rsid w:val="1C0A2043"/>
    <w:rsid w:val="1C0C75A5"/>
    <w:rsid w:val="1C1075A2"/>
    <w:rsid w:val="1C1E1CC6"/>
    <w:rsid w:val="1C234EE8"/>
    <w:rsid w:val="1C245D07"/>
    <w:rsid w:val="1C2F756D"/>
    <w:rsid w:val="1C320331"/>
    <w:rsid w:val="1C356958"/>
    <w:rsid w:val="1C5750EE"/>
    <w:rsid w:val="1C615007"/>
    <w:rsid w:val="1C75128E"/>
    <w:rsid w:val="1C7D7AEA"/>
    <w:rsid w:val="1C8615E1"/>
    <w:rsid w:val="1C9D0195"/>
    <w:rsid w:val="1C9E7B4D"/>
    <w:rsid w:val="1CA9019C"/>
    <w:rsid w:val="1CAF18A4"/>
    <w:rsid w:val="1CC400CD"/>
    <w:rsid w:val="1CC418C3"/>
    <w:rsid w:val="1CC71098"/>
    <w:rsid w:val="1CCD7602"/>
    <w:rsid w:val="1CCE4CB0"/>
    <w:rsid w:val="1CD620D0"/>
    <w:rsid w:val="1CD97C71"/>
    <w:rsid w:val="1CE73BCD"/>
    <w:rsid w:val="1CE87C26"/>
    <w:rsid w:val="1D1D291B"/>
    <w:rsid w:val="1D200DF2"/>
    <w:rsid w:val="1D24311E"/>
    <w:rsid w:val="1D2C3A1A"/>
    <w:rsid w:val="1D3A5F95"/>
    <w:rsid w:val="1D3E77AE"/>
    <w:rsid w:val="1D41234E"/>
    <w:rsid w:val="1D4513D1"/>
    <w:rsid w:val="1D5755D8"/>
    <w:rsid w:val="1D5B68B2"/>
    <w:rsid w:val="1D5C0DA0"/>
    <w:rsid w:val="1D5C7E4E"/>
    <w:rsid w:val="1D64387A"/>
    <w:rsid w:val="1D6F4610"/>
    <w:rsid w:val="1D7C1A78"/>
    <w:rsid w:val="1D9B552B"/>
    <w:rsid w:val="1DA6339A"/>
    <w:rsid w:val="1DAC22DB"/>
    <w:rsid w:val="1DB50D60"/>
    <w:rsid w:val="1DBA2C03"/>
    <w:rsid w:val="1DC855C8"/>
    <w:rsid w:val="1DCC34E5"/>
    <w:rsid w:val="1DF12F4A"/>
    <w:rsid w:val="1DF63D7D"/>
    <w:rsid w:val="1DFF58CB"/>
    <w:rsid w:val="1E0C4D92"/>
    <w:rsid w:val="1E1778A7"/>
    <w:rsid w:val="1E1C4671"/>
    <w:rsid w:val="1E1E6FEA"/>
    <w:rsid w:val="1E1F021D"/>
    <w:rsid w:val="1E242E24"/>
    <w:rsid w:val="1E2B492A"/>
    <w:rsid w:val="1E2C3459"/>
    <w:rsid w:val="1E330861"/>
    <w:rsid w:val="1E4F7344"/>
    <w:rsid w:val="1E5E3EFC"/>
    <w:rsid w:val="1E685543"/>
    <w:rsid w:val="1E703940"/>
    <w:rsid w:val="1E7374F2"/>
    <w:rsid w:val="1E786486"/>
    <w:rsid w:val="1E842EE0"/>
    <w:rsid w:val="1E8A301C"/>
    <w:rsid w:val="1E8E199E"/>
    <w:rsid w:val="1E993097"/>
    <w:rsid w:val="1E9A1092"/>
    <w:rsid w:val="1E9F0786"/>
    <w:rsid w:val="1EA5131C"/>
    <w:rsid w:val="1EBE433E"/>
    <w:rsid w:val="1EC1008A"/>
    <w:rsid w:val="1EC21110"/>
    <w:rsid w:val="1ECD4EC5"/>
    <w:rsid w:val="1EDA25DD"/>
    <w:rsid w:val="1EDB6FB2"/>
    <w:rsid w:val="1EE77E81"/>
    <w:rsid w:val="1F084EB6"/>
    <w:rsid w:val="1F0C55E7"/>
    <w:rsid w:val="1F136F11"/>
    <w:rsid w:val="1F1F3F39"/>
    <w:rsid w:val="1F2206FC"/>
    <w:rsid w:val="1F2351FB"/>
    <w:rsid w:val="1F3666FB"/>
    <w:rsid w:val="1F403CCE"/>
    <w:rsid w:val="1F5D7A9F"/>
    <w:rsid w:val="1F646524"/>
    <w:rsid w:val="1F735054"/>
    <w:rsid w:val="1F850D69"/>
    <w:rsid w:val="1F945F7A"/>
    <w:rsid w:val="1FA12CB7"/>
    <w:rsid w:val="1FB524E8"/>
    <w:rsid w:val="1FB8537F"/>
    <w:rsid w:val="1FD125E5"/>
    <w:rsid w:val="1FD40B60"/>
    <w:rsid w:val="1FDE5CF0"/>
    <w:rsid w:val="1FE04664"/>
    <w:rsid w:val="1FEB3CDD"/>
    <w:rsid w:val="1FF04DA1"/>
    <w:rsid w:val="1FF443B1"/>
    <w:rsid w:val="20022130"/>
    <w:rsid w:val="20042B2B"/>
    <w:rsid w:val="20121BC9"/>
    <w:rsid w:val="201575E8"/>
    <w:rsid w:val="20230E4F"/>
    <w:rsid w:val="202B4648"/>
    <w:rsid w:val="20305252"/>
    <w:rsid w:val="204A3E68"/>
    <w:rsid w:val="20513144"/>
    <w:rsid w:val="20577738"/>
    <w:rsid w:val="206E6DAF"/>
    <w:rsid w:val="20766C9C"/>
    <w:rsid w:val="20834DEC"/>
    <w:rsid w:val="208F0A9D"/>
    <w:rsid w:val="20920AA1"/>
    <w:rsid w:val="2092752B"/>
    <w:rsid w:val="209652FA"/>
    <w:rsid w:val="20991C3F"/>
    <w:rsid w:val="20CF1810"/>
    <w:rsid w:val="20F7071E"/>
    <w:rsid w:val="20FF7833"/>
    <w:rsid w:val="21150BEF"/>
    <w:rsid w:val="21154C49"/>
    <w:rsid w:val="211A1A71"/>
    <w:rsid w:val="211E1F94"/>
    <w:rsid w:val="21325170"/>
    <w:rsid w:val="2145293E"/>
    <w:rsid w:val="21485A2C"/>
    <w:rsid w:val="2149125A"/>
    <w:rsid w:val="2149310F"/>
    <w:rsid w:val="21641613"/>
    <w:rsid w:val="217E0F1B"/>
    <w:rsid w:val="21891979"/>
    <w:rsid w:val="218A1D67"/>
    <w:rsid w:val="21A36E1B"/>
    <w:rsid w:val="21A6753B"/>
    <w:rsid w:val="21AB4301"/>
    <w:rsid w:val="21BE07D1"/>
    <w:rsid w:val="21C14FB3"/>
    <w:rsid w:val="21CE5937"/>
    <w:rsid w:val="21E277CA"/>
    <w:rsid w:val="21F21D52"/>
    <w:rsid w:val="21FE7B36"/>
    <w:rsid w:val="22095AC9"/>
    <w:rsid w:val="22174B00"/>
    <w:rsid w:val="22181AB6"/>
    <w:rsid w:val="222F29F8"/>
    <w:rsid w:val="22330895"/>
    <w:rsid w:val="2238433A"/>
    <w:rsid w:val="22385E79"/>
    <w:rsid w:val="22460B28"/>
    <w:rsid w:val="224D73DC"/>
    <w:rsid w:val="224E5F6D"/>
    <w:rsid w:val="225979C3"/>
    <w:rsid w:val="225A03DB"/>
    <w:rsid w:val="226E3446"/>
    <w:rsid w:val="22781F88"/>
    <w:rsid w:val="22886A4D"/>
    <w:rsid w:val="22A13519"/>
    <w:rsid w:val="22C54E5E"/>
    <w:rsid w:val="22CB7DE8"/>
    <w:rsid w:val="22CD57C2"/>
    <w:rsid w:val="22D518D4"/>
    <w:rsid w:val="22D563EC"/>
    <w:rsid w:val="22F47D94"/>
    <w:rsid w:val="22F7610C"/>
    <w:rsid w:val="22F94667"/>
    <w:rsid w:val="23001A71"/>
    <w:rsid w:val="23033B1C"/>
    <w:rsid w:val="23045A17"/>
    <w:rsid w:val="23050ED0"/>
    <w:rsid w:val="23057C2E"/>
    <w:rsid w:val="231425C7"/>
    <w:rsid w:val="23171FD9"/>
    <w:rsid w:val="23172972"/>
    <w:rsid w:val="23193C4A"/>
    <w:rsid w:val="23200F4D"/>
    <w:rsid w:val="23223DC5"/>
    <w:rsid w:val="2325645C"/>
    <w:rsid w:val="232B3C33"/>
    <w:rsid w:val="232E78EE"/>
    <w:rsid w:val="233A5B77"/>
    <w:rsid w:val="234C1DCC"/>
    <w:rsid w:val="23722CB0"/>
    <w:rsid w:val="23813B8C"/>
    <w:rsid w:val="23896718"/>
    <w:rsid w:val="239133C6"/>
    <w:rsid w:val="23947553"/>
    <w:rsid w:val="239F2DC1"/>
    <w:rsid w:val="239F3809"/>
    <w:rsid w:val="23AB7A90"/>
    <w:rsid w:val="23B77221"/>
    <w:rsid w:val="23BD766A"/>
    <w:rsid w:val="23BF7F55"/>
    <w:rsid w:val="23C55E21"/>
    <w:rsid w:val="23CD2DE4"/>
    <w:rsid w:val="23D436D9"/>
    <w:rsid w:val="23D86C07"/>
    <w:rsid w:val="23EA3C32"/>
    <w:rsid w:val="23FC5212"/>
    <w:rsid w:val="23FF6960"/>
    <w:rsid w:val="24024CA8"/>
    <w:rsid w:val="240D07B1"/>
    <w:rsid w:val="242330D6"/>
    <w:rsid w:val="242C63ED"/>
    <w:rsid w:val="24305CD9"/>
    <w:rsid w:val="2439048F"/>
    <w:rsid w:val="24402D98"/>
    <w:rsid w:val="24433D71"/>
    <w:rsid w:val="24505AF8"/>
    <w:rsid w:val="245D58CF"/>
    <w:rsid w:val="2460452B"/>
    <w:rsid w:val="24661D81"/>
    <w:rsid w:val="247C2420"/>
    <w:rsid w:val="24854898"/>
    <w:rsid w:val="24992C3F"/>
    <w:rsid w:val="249A09D8"/>
    <w:rsid w:val="249E412C"/>
    <w:rsid w:val="24A2263B"/>
    <w:rsid w:val="24B00086"/>
    <w:rsid w:val="24CE6E9F"/>
    <w:rsid w:val="24D906D7"/>
    <w:rsid w:val="24E70DDF"/>
    <w:rsid w:val="24EE74DC"/>
    <w:rsid w:val="251B24A2"/>
    <w:rsid w:val="252071FA"/>
    <w:rsid w:val="2535279D"/>
    <w:rsid w:val="255E6EBF"/>
    <w:rsid w:val="25862544"/>
    <w:rsid w:val="25871863"/>
    <w:rsid w:val="25B634D7"/>
    <w:rsid w:val="25C35B35"/>
    <w:rsid w:val="25D33997"/>
    <w:rsid w:val="25D7080D"/>
    <w:rsid w:val="25F93E30"/>
    <w:rsid w:val="260157D8"/>
    <w:rsid w:val="260C58C5"/>
    <w:rsid w:val="261F28E2"/>
    <w:rsid w:val="26317F02"/>
    <w:rsid w:val="263C7542"/>
    <w:rsid w:val="264828A1"/>
    <w:rsid w:val="264E1BD7"/>
    <w:rsid w:val="26525ABF"/>
    <w:rsid w:val="26580129"/>
    <w:rsid w:val="265E5A3D"/>
    <w:rsid w:val="266B3FBF"/>
    <w:rsid w:val="266B7773"/>
    <w:rsid w:val="2670091B"/>
    <w:rsid w:val="26846ED1"/>
    <w:rsid w:val="26865998"/>
    <w:rsid w:val="26871BB0"/>
    <w:rsid w:val="268D7485"/>
    <w:rsid w:val="26A20621"/>
    <w:rsid w:val="26A2570F"/>
    <w:rsid w:val="26BA1F09"/>
    <w:rsid w:val="26BB7BE9"/>
    <w:rsid w:val="26BD53BF"/>
    <w:rsid w:val="26C41B0C"/>
    <w:rsid w:val="26D40671"/>
    <w:rsid w:val="26D434C2"/>
    <w:rsid w:val="26E37853"/>
    <w:rsid w:val="26EC6E10"/>
    <w:rsid w:val="26F2145D"/>
    <w:rsid w:val="26FD713B"/>
    <w:rsid w:val="27113A02"/>
    <w:rsid w:val="27185642"/>
    <w:rsid w:val="272418A0"/>
    <w:rsid w:val="27287300"/>
    <w:rsid w:val="273106D3"/>
    <w:rsid w:val="27326E8F"/>
    <w:rsid w:val="27374FF4"/>
    <w:rsid w:val="2737620D"/>
    <w:rsid w:val="275C284F"/>
    <w:rsid w:val="276A54F4"/>
    <w:rsid w:val="277A1EE9"/>
    <w:rsid w:val="27850469"/>
    <w:rsid w:val="278712D9"/>
    <w:rsid w:val="278A7B60"/>
    <w:rsid w:val="27912DBA"/>
    <w:rsid w:val="27947308"/>
    <w:rsid w:val="27971C6E"/>
    <w:rsid w:val="27A75EAC"/>
    <w:rsid w:val="27AB1068"/>
    <w:rsid w:val="27AE2583"/>
    <w:rsid w:val="27BD5293"/>
    <w:rsid w:val="27BF7444"/>
    <w:rsid w:val="27CF0809"/>
    <w:rsid w:val="27D32AFA"/>
    <w:rsid w:val="27D513B8"/>
    <w:rsid w:val="27D77791"/>
    <w:rsid w:val="27E951EF"/>
    <w:rsid w:val="27EF3921"/>
    <w:rsid w:val="27F85FD9"/>
    <w:rsid w:val="27F97D3B"/>
    <w:rsid w:val="282316C9"/>
    <w:rsid w:val="28271BFB"/>
    <w:rsid w:val="2829729D"/>
    <w:rsid w:val="282A3BFC"/>
    <w:rsid w:val="283F1393"/>
    <w:rsid w:val="28472BAA"/>
    <w:rsid w:val="284949D0"/>
    <w:rsid w:val="285577BE"/>
    <w:rsid w:val="28575BA5"/>
    <w:rsid w:val="285B48D1"/>
    <w:rsid w:val="286B5074"/>
    <w:rsid w:val="286C6EC7"/>
    <w:rsid w:val="2889463D"/>
    <w:rsid w:val="28914870"/>
    <w:rsid w:val="28936E63"/>
    <w:rsid w:val="289B28FD"/>
    <w:rsid w:val="289C0A2E"/>
    <w:rsid w:val="28A1765A"/>
    <w:rsid w:val="28A85336"/>
    <w:rsid w:val="28AC1996"/>
    <w:rsid w:val="28B10F4D"/>
    <w:rsid w:val="28BC2993"/>
    <w:rsid w:val="28C1705D"/>
    <w:rsid w:val="28DE42CC"/>
    <w:rsid w:val="28E15251"/>
    <w:rsid w:val="28E2106E"/>
    <w:rsid w:val="28EB4FE6"/>
    <w:rsid w:val="29182AE2"/>
    <w:rsid w:val="29235611"/>
    <w:rsid w:val="29486BC2"/>
    <w:rsid w:val="297B73A0"/>
    <w:rsid w:val="299500DD"/>
    <w:rsid w:val="29A72E14"/>
    <w:rsid w:val="29AB1636"/>
    <w:rsid w:val="29B91E1B"/>
    <w:rsid w:val="29C86F3D"/>
    <w:rsid w:val="29D302E5"/>
    <w:rsid w:val="29E2459F"/>
    <w:rsid w:val="29E30A24"/>
    <w:rsid w:val="29EB52A8"/>
    <w:rsid w:val="29EC75D9"/>
    <w:rsid w:val="29F070AF"/>
    <w:rsid w:val="29F51BB6"/>
    <w:rsid w:val="2A0D2B92"/>
    <w:rsid w:val="2A331A15"/>
    <w:rsid w:val="2A4300EA"/>
    <w:rsid w:val="2A566861"/>
    <w:rsid w:val="2A583CAE"/>
    <w:rsid w:val="2A59051A"/>
    <w:rsid w:val="2A5D2FF9"/>
    <w:rsid w:val="2A6162EF"/>
    <w:rsid w:val="2A664904"/>
    <w:rsid w:val="2A671F4C"/>
    <w:rsid w:val="2A6C0C25"/>
    <w:rsid w:val="2A712586"/>
    <w:rsid w:val="2A755A43"/>
    <w:rsid w:val="2A97239D"/>
    <w:rsid w:val="2AA03AF0"/>
    <w:rsid w:val="2AA16B48"/>
    <w:rsid w:val="2AAA78E8"/>
    <w:rsid w:val="2ABA0F1B"/>
    <w:rsid w:val="2AE07C1D"/>
    <w:rsid w:val="2AE83932"/>
    <w:rsid w:val="2AFE1919"/>
    <w:rsid w:val="2B086564"/>
    <w:rsid w:val="2B0E0A15"/>
    <w:rsid w:val="2B103799"/>
    <w:rsid w:val="2B10534B"/>
    <w:rsid w:val="2B190A6F"/>
    <w:rsid w:val="2B201F47"/>
    <w:rsid w:val="2B242CD3"/>
    <w:rsid w:val="2B274D12"/>
    <w:rsid w:val="2B370479"/>
    <w:rsid w:val="2B3710B5"/>
    <w:rsid w:val="2B40368C"/>
    <w:rsid w:val="2B412E48"/>
    <w:rsid w:val="2B474112"/>
    <w:rsid w:val="2B495F9E"/>
    <w:rsid w:val="2B6632B3"/>
    <w:rsid w:val="2B6A7F95"/>
    <w:rsid w:val="2B6F2B47"/>
    <w:rsid w:val="2B7A630B"/>
    <w:rsid w:val="2B8708F9"/>
    <w:rsid w:val="2B875501"/>
    <w:rsid w:val="2B911F73"/>
    <w:rsid w:val="2B966DF1"/>
    <w:rsid w:val="2BA246CA"/>
    <w:rsid w:val="2BA256D9"/>
    <w:rsid w:val="2BAF3F3A"/>
    <w:rsid w:val="2BC035D5"/>
    <w:rsid w:val="2BC64F11"/>
    <w:rsid w:val="2BCB3F82"/>
    <w:rsid w:val="2BD24446"/>
    <w:rsid w:val="2BE95749"/>
    <w:rsid w:val="2BED190F"/>
    <w:rsid w:val="2BFC6AD4"/>
    <w:rsid w:val="2C004408"/>
    <w:rsid w:val="2C172B73"/>
    <w:rsid w:val="2C1B456F"/>
    <w:rsid w:val="2C1F63C6"/>
    <w:rsid w:val="2C233131"/>
    <w:rsid w:val="2C57676C"/>
    <w:rsid w:val="2C676069"/>
    <w:rsid w:val="2C74012E"/>
    <w:rsid w:val="2C851BB5"/>
    <w:rsid w:val="2CA5685F"/>
    <w:rsid w:val="2CA65DF2"/>
    <w:rsid w:val="2CAB2AC9"/>
    <w:rsid w:val="2CAD6B25"/>
    <w:rsid w:val="2CB61E4C"/>
    <w:rsid w:val="2CCD7459"/>
    <w:rsid w:val="2CD72ACE"/>
    <w:rsid w:val="2CEB0669"/>
    <w:rsid w:val="2D155ABE"/>
    <w:rsid w:val="2D381B6C"/>
    <w:rsid w:val="2D3949AA"/>
    <w:rsid w:val="2D443AE2"/>
    <w:rsid w:val="2D550BC5"/>
    <w:rsid w:val="2D6D1DDF"/>
    <w:rsid w:val="2D734F04"/>
    <w:rsid w:val="2D836E7E"/>
    <w:rsid w:val="2D8D36E8"/>
    <w:rsid w:val="2D927047"/>
    <w:rsid w:val="2DB56722"/>
    <w:rsid w:val="2DD74C2B"/>
    <w:rsid w:val="2DE81A7A"/>
    <w:rsid w:val="2DEE2FDB"/>
    <w:rsid w:val="2DF31A49"/>
    <w:rsid w:val="2E031B9A"/>
    <w:rsid w:val="2E0462A7"/>
    <w:rsid w:val="2E0D3D13"/>
    <w:rsid w:val="2E102FEF"/>
    <w:rsid w:val="2E270155"/>
    <w:rsid w:val="2E3A733E"/>
    <w:rsid w:val="2E4209FF"/>
    <w:rsid w:val="2E426AFA"/>
    <w:rsid w:val="2E474018"/>
    <w:rsid w:val="2E552732"/>
    <w:rsid w:val="2E586776"/>
    <w:rsid w:val="2E5F2C8D"/>
    <w:rsid w:val="2E61153A"/>
    <w:rsid w:val="2E61169F"/>
    <w:rsid w:val="2E65496C"/>
    <w:rsid w:val="2E7600AD"/>
    <w:rsid w:val="2E940CC0"/>
    <w:rsid w:val="2EAB555B"/>
    <w:rsid w:val="2EC43BAC"/>
    <w:rsid w:val="2EC72B92"/>
    <w:rsid w:val="2EC73F14"/>
    <w:rsid w:val="2ED54A8E"/>
    <w:rsid w:val="2ED836EE"/>
    <w:rsid w:val="2EDE0C42"/>
    <w:rsid w:val="2EE44695"/>
    <w:rsid w:val="2EEC1220"/>
    <w:rsid w:val="2EEC42AF"/>
    <w:rsid w:val="2F094A45"/>
    <w:rsid w:val="2F1544E7"/>
    <w:rsid w:val="2F193858"/>
    <w:rsid w:val="2F2C4CC3"/>
    <w:rsid w:val="2F3167A5"/>
    <w:rsid w:val="2F334C96"/>
    <w:rsid w:val="2F353E8D"/>
    <w:rsid w:val="2F3D4331"/>
    <w:rsid w:val="2F3F322C"/>
    <w:rsid w:val="2F550D66"/>
    <w:rsid w:val="2F5E1505"/>
    <w:rsid w:val="2F601CEE"/>
    <w:rsid w:val="2F6C3E75"/>
    <w:rsid w:val="2F7F5DC9"/>
    <w:rsid w:val="2F871481"/>
    <w:rsid w:val="2F9C5097"/>
    <w:rsid w:val="2FB22441"/>
    <w:rsid w:val="2FCB1A93"/>
    <w:rsid w:val="2FCF0064"/>
    <w:rsid w:val="2FE52AED"/>
    <w:rsid w:val="2FEA4B4D"/>
    <w:rsid w:val="2FF06294"/>
    <w:rsid w:val="2FF162FB"/>
    <w:rsid w:val="2FF9135A"/>
    <w:rsid w:val="300478E4"/>
    <w:rsid w:val="301215B8"/>
    <w:rsid w:val="30194267"/>
    <w:rsid w:val="30214D3E"/>
    <w:rsid w:val="30217917"/>
    <w:rsid w:val="302D2809"/>
    <w:rsid w:val="304D4442"/>
    <w:rsid w:val="305A1CA4"/>
    <w:rsid w:val="305C3DC4"/>
    <w:rsid w:val="30730642"/>
    <w:rsid w:val="307C78BB"/>
    <w:rsid w:val="30837E92"/>
    <w:rsid w:val="308A2AAF"/>
    <w:rsid w:val="308E5FDF"/>
    <w:rsid w:val="309B06AC"/>
    <w:rsid w:val="30A91BDD"/>
    <w:rsid w:val="30DF2CFC"/>
    <w:rsid w:val="30F22BAE"/>
    <w:rsid w:val="30FE6782"/>
    <w:rsid w:val="310C72DB"/>
    <w:rsid w:val="310D1792"/>
    <w:rsid w:val="312174D9"/>
    <w:rsid w:val="31242B8D"/>
    <w:rsid w:val="31302D16"/>
    <w:rsid w:val="31421D8A"/>
    <w:rsid w:val="31543575"/>
    <w:rsid w:val="3163392E"/>
    <w:rsid w:val="31812E6B"/>
    <w:rsid w:val="318601E9"/>
    <w:rsid w:val="318775EE"/>
    <w:rsid w:val="319E0A3B"/>
    <w:rsid w:val="31B678CD"/>
    <w:rsid w:val="31B867F0"/>
    <w:rsid w:val="31BD08C4"/>
    <w:rsid w:val="31C576F6"/>
    <w:rsid w:val="31C83110"/>
    <w:rsid w:val="31D979D3"/>
    <w:rsid w:val="31DA6514"/>
    <w:rsid w:val="31DB26DE"/>
    <w:rsid w:val="31ED4877"/>
    <w:rsid w:val="31FE6F20"/>
    <w:rsid w:val="320310E1"/>
    <w:rsid w:val="320A01E5"/>
    <w:rsid w:val="320C2CA5"/>
    <w:rsid w:val="320F1124"/>
    <w:rsid w:val="322C7FFE"/>
    <w:rsid w:val="3239385F"/>
    <w:rsid w:val="323D1328"/>
    <w:rsid w:val="323F314C"/>
    <w:rsid w:val="324615EB"/>
    <w:rsid w:val="32467875"/>
    <w:rsid w:val="324C38CF"/>
    <w:rsid w:val="325356F9"/>
    <w:rsid w:val="325C2D76"/>
    <w:rsid w:val="326142B4"/>
    <w:rsid w:val="326D208C"/>
    <w:rsid w:val="326D70CA"/>
    <w:rsid w:val="326E1596"/>
    <w:rsid w:val="32850F8F"/>
    <w:rsid w:val="32865229"/>
    <w:rsid w:val="328710C1"/>
    <w:rsid w:val="3289062A"/>
    <w:rsid w:val="328A7381"/>
    <w:rsid w:val="328B2ABC"/>
    <w:rsid w:val="329247C7"/>
    <w:rsid w:val="32A63225"/>
    <w:rsid w:val="32AB7090"/>
    <w:rsid w:val="32B154F8"/>
    <w:rsid w:val="32B27549"/>
    <w:rsid w:val="32BF0051"/>
    <w:rsid w:val="32C246E2"/>
    <w:rsid w:val="32C67B64"/>
    <w:rsid w:val="32C92086"/>
    <w:rsid w:val="32D50CEB"/>
    <w:rsid w:val="32DC2031"/>
    <w:rsid w:val="32E234E1"/>
    <w:rsid w:val="331F61F8"/>
    <w:rsid w:val="33231DE6"/>
    <w:rsid w:val="333B6911"/>
    <w:rsid w:val="334A3913"/>
    <w:rsid w:val="334E6C51"/>
    <w:rsid w:val="33571F8D"/>
    <w:rsid w:val="335D1D86"/>
    <w:rsid w:val="336F5D77"/>
    <w:rsid w:val="33742B4B"/>
    <w:rsid w:val="3378319E"/>
    <w:rsid w:val="33784C2D"/>
    <w:rsid w:val="33937728"/>
    <w:rsid w:val="3394688F"/>
    <w:rsid w:val="339669AD"/>
    <w:rsid w:val="33A849E6"/>
    <w:rsid w:val="33AC27DE"/>
    <w:rsid w:val="33AD0C9D"/>
    <w:rsid w:val="33BF61F6"/>
    <w:rsid w:val="33D103B1"/>
    <w:rsid w:val="33D45CA0"/>
    <w:rsid w:val="33E13F13"/>
    <w:rsid w:val="33ED696B"/>
    <w:rsid w:val="33EE4351"/>
    <w:rsid w:val="33FC6D82"/>
    <w:rsid w:val="33FF4766"/>
    <w:rsid w:val="34053519"/>
    <w:rsid w:val="34087518"/>
    <w:rsid w:val="340925AB"/>
    <w:rsid w:val="340C2EE8"/>
    <w:rsid w:val="34231E05"/>
    <w:rsid w:val="343671E2"/>
    <w:rsid w:val="343972C8"/>
    <w:rsid w:val="34435B4A"/>
    <w:rsid w:val="345538E9"/>
    <w:rsid w:val="34613CC5"/>
    <w:rsid w:val="34664267"/>
    <w:rsid w:val="346B074E"/>
    <w:rsid w:val="346D4D3D"/>
    <w:rsid w:val="34802039"/>
    <w:rsid w:val="348670BF"/>
    <w:rsid w:val="34A35E09"/>
    <w:rsid w:val="34A66754"/>
    <w:rsid w:val="34A94975"/>
    <w:rsid w:val="34B05AE0"/>
    <w:rsid w:val="34C54DB9"/>
    <w:rsid w:val="34E16E3E"/>
    <w:rsid w:val="34E7754B"/>
    <w:rsid w:val="34EA0F65"/>
    <w:rsid w:val="34F252CF"/>
    <w:rsid w:val="35072635"/>
    <w:rsid w:val="351336D1"/>
    <w:rsid w:val="351E408A"/>
    <w:rsid w:val="35257281"/>
    <w:rsid w:val="35277C4C"/>
    <w:rsid w:val="353A4F3D"/>
    <w:rsid w:val="3544100D"/>
    <w:rsid w:val="354F17A2"/>
    <w:rsid w:val="35504E47"/>
    <w:rsid w:val="35573624"/>
    <w:rsid w:val="35666732"/>
    <w:rsid w:val="356A3CB3"/>
    <w:rsid w:val="356A5601"/>
    <w:rsid w:val="35810C19"/>
    <w:rsid w:val="35A26587"/>
    <w:rsid w:val="35A50835"/>
    <w:rsid w:val="35A6772E"/>
    <w:rsid w:val="35A9568E"/>
    <w:rsid w:val="35D02FEC"/>
    <w:rsid w:val="35E70BB1"/>
    <w:rsid w:val="35F87072"/>
    <w:rsid w:val="35FD2EFD"/>
    <w:rsid w:val="36111A4B"/>
    <w:rsid w:val="36195212"/>
    <w:rsid w:val="361A3639"/>
    <w:rsid w:val="361C110A"/>
    <w:rsid w:val="362E61A0"/>
    <w:rsid w:val="363E6BAA"/>
    <w:rsid w:val="364B2626"/>
    <w:rsid w:val="364D32BD"/>
    <w:rsid w:val="364D7D72"/>
    <w:rsid w:val="366B0451"/>
    <w:rsid w:val="366C04F3"/>
    <w:rsid w:val="366D5A87"/>
    <w:rsid w:val="3683705A"/>
    <w:rsid w:val="36860B9F"/>
    <w:rsid w:val="369B6791"/>
    <w:rsid w:val="369C2B95"/>
    <w:rsid w:val="369D24A5"/>
    <w:rsid w:val="36B030B4"/>
    <w:rsid w:val="36CC2675"/>
    <w:rsid w:val="36CE6DB8"/>
    <w:rsid w:val="36E307AE"/>
    <w:rsid w:val="36FB066F"/>
    <w:rsid w:val="36FD139B"/>
    <w:rsid w:val="370675E4"/>
    <w:rsid w:val="37073CAE"/>
    <w:rsid w:val="37151B78"/>
    <w:rsid w:val="372651A3"/>
    <w:rsid w:val="373308DF"/>
    <w:rsid w:val="3742172B"/>
    <w:rsid w:val="374335A2"/>
    <w:rsid w:val="37895DDE"/>
    <w:rsid w:val="37B27BCE"/>
    <w:rsid w:val="37B355DC"/>
    <w:rsid w:val="37C21957"/>
    <w:rsid w:val="37C26955"/>
    <w:rsid w:val="37CC4FCE"/>
    <w:rsid w:val="37CC53A3"/>
    <w:rsid w:val="37D17364"/>
    <w:rsid w:val="37D34D38"/>
    <w:rsid w:val="37D47183"/>
    <w:rsid w:val="37D65D24"/>
    <w:rsid w:val="37DD4B78"/>
    <w:rsid w:val="37E8771B"/>
    <w:rsid w:val="380620FB"/>
    <w:rsid w:val="381E5B04"/>
    <w:rsid w:val="381F5C4D"/>
    <w:rsid w:val="382A1023"/>
    <w:rsid w:val="383D38CF"/>
    <w:rsid w:val="384C35CB"/>
    <w:rsid w:val="384E12A2"/>
    <w:rsid w:val="38503D28"/>
    <w:rsid w:val="38560A62"/>
    <w:rsid w:val="3858063B"/>
    <w:rsid w:val="385B3DF4"/>
    <w:rsid w:val="38685765"/>
    <w:rsid w:val="388C2CFA"/>
    <w:rsid w:val="38B40C4A"/>
    <w:rsid w:val="38B42EB2"/>
    <w:rsid w:val="38B51744"/>
    <w:rsid w:val="38C17BC8"/>
    <w:rsid w:val="38C349B5"/>
    <w:rsid w:val="38C83BDE"/>
    <w:rsid w:val="38C84D75"/>
    <w:rsid w:val="38E52CCB"/>
    <w:rsid w:val="38E630AE"/>
    <w:rsid w:val="390400BF"/>
    <w:rsid w:val="39041AA3"/>
    <w:rsid w:val="390F0DD7"/>
    <w:rsid w:val="39175033"/>
    <w:rsid w:val="391D54BB"/>
    <w:rsid w:val="392B1EFD"/>
    <w:rsid w:val="393B6A45"/>
    <w:rsid w:val="39432D0B"/>
    <w:rsid w:val="394F0531"/>
    <w:rsid w:val="39527D99"/>
    <w:rsid w:val="3957061E"/>
    <w:rsid w:val="395E28DC"/>
    <w:rsid w:val="395F0FA5"/>
    <w:rsid w:val="39620604"/>
    <w:rsid w:val="39661607"/>
    <w:rsid w:val="397677C2"/>
    <w:rsid w:val="397B0031"/>
    <w:rsid w:val="397E5634"/>
    <w:rsid w:val="397F1A92"/>
    <w:rsid w:val="39860848"/>
    <w:rsid w:val="39884C68"/>
    <w:rsid w:val="39885A4F"/>
    <w:rsid w:val="399D60E4"/>
    <w:rsid w:val="39AA29DA"/>
    <w:rsid w:val="39C203DB"/>
    <w:rsid w:val="39E601F8"/>
    <w:rsid w:val="39EF5414"/>
    <w:rsid w:val="39F2755C"/>
    <w:rsid w:val="3A0F1C0A"/>
    <w:rsid w:val="3A191FB3"/>
    <w:rsid w:val="3A323E9A"/>
    <w:rsid w:val="3A3F2823"/>
    <w:rsid w:val="3A4D75DB"/>
    <w:rsid w:val="3A532CA7"/>
    <w:rsid w:val="3A58574E"/>
    <w:rsid w:val="3A6175AF"/>
    <w:rsid w:val="3A6A56FC"/>
    <w:rsid w:val="3A810175"/>
    <w:rsid w:val="3A890E3F"/>
    <w:rsid w:val="3A8922DA"/>
    <w:rsid w:val="3A963E1C"/>
    <w:rsid w:val="3A986C86"/>
    <w:rsid w:val="3A9D5383"/>
    <w:rsid w:val="3AA60926"/>
    <w:rsid w:val="3AB85C0A"/>
    <w:rsid w:val="3AB94C7E"/>
    <w:rsid w:val="3AE6339B"/>
    <w:rsid w:val="3AEE6678"/>
    <w:rsid w:val="3AFB0399"/>
    <w:rsid w:val="3B0023E8"/>
    <w:rsid w:val="3B0C576A"/>
    <w:rsid w:val="3B274F17"/>
    <w:rsid w:val="3B2A6B6F"/>
    <w:rsid w:val="3B311830"/>
    <w:rsid w:val="3B3A7EE0"/>
    <w:rsid w:val="3B447106"/>
    <w:rsid w:val="3B593122"/>
    <w:rsid w:val="3B6C414C"/>
    <w:rsid w:val="3B73382E"/>
    <w:rsid w:val="3B8662B0"/>
    <w:rsid w:val="3B8D417F"/>
    <w:rsid w:val="3B930625"/>
    <w:rsid w:val="3B940BBA"/>
    <w:rsid w:val="3B9C51AC"/>
    <w:rsid w:val="3BA63849"/>
    <w:rsid w:val="3BBA3EDF"/>
    <w:rsid w:val="3BBE7A44"/>
    <w:rsid w:val="3BC15FAF"/>
    <w:rsid w:val="3BCF4C09"/>
    <w:rsid w:val="3BD90CBF"/>
    <w:rsid w:val="3BE3310D"/>
    <w:rsid w:val="3BF03020"/>
    <w:rsid w:val="3BF474A0"/>
    <w:rsid w:val="3BF647A8"/>
    <w:rsid w:val="3BFB45AA"/>
    <w:rsid w:val="3C0B32C7"/>
    <w:rsid w:val="3C101FB2"/>
    <w:rsid w:val="3C141EF4"/>
    <w:rsid w:val="3C2C45FF"/>
    <w:rsid w:val="3C3062B1"/>
    <w:rsid w:val="3C340918"/>
    <w:rsid w:val="3C350797"/>
    <w:rsid w:val="3C4B1266"/>
    <w:rsid w:val="3C4D1E9A"/>
    <w:rsid w:val="3C536F45"/>
    <w:rsid w:val="3C5D698E"/>
    <w:rsid w:val="3C816674"/>
    <w:rsid w:val="3C837669"/>
    <w:rsid w:val="3C8B0A00"/>
    <w:rsid w:val="3CB20674"/>
    <w:rsid w:val="3CB479A7"/>
    <w:rsid w:val="3CBC2F72"/>
    <w:rsid w:val="3CE33DAB"/>
    <w:rsid w:val="3CE402F5"/>
    <w:rsid w:val="3CF9243D"/>
    <w:rsid w:val="3CFC5802"/>
    <w:rsid w:val="3D0F647E"/>
    <w:rsid w:val="3D1A706D"/>
    <w:rsid w:val="3D3A4960"/>
    <w:rsid w:val="3D814713"/>
    <w:rsid w:val="3D9A71C7"/>
    <w:rsid w:val="3D9C1A9F"/>
    <w:rsid w:val="3D9E0AFA"/>
    <w:rsid w:val="3DA14F0D"/>
    <w:rsid w:val="3DC04950"/>
    <w:rsid w:val="3DC24C8F"/>
    <w:rsid w:val="3DD37B53"/>
    <w:rsid w:val="3DE06B1D"/>
    <w:rsid w:val="3DE6636B"/>
    <w:rsid w:val="3DE83A38"/>
    <w:rsid w:val="3DEB2486"/>
    <w:rsid w:val="3DEC03E6"/>
    <w:rsid w:val="3DF82102"/>
    <w:rsid w:val="3DFA64D0"/>
    <w:rsid w:val="3E0343C1"/>
    <w:rsid w:val="3E0D4BC8"/>
    <w:rsid w:val="3E151F4C"/>
    <w:rsid w:val="3E1E1640"/>
    <w:rsid w:val="3E2519E1"/>
    <w:rsid w:val="3E261B4C"/>
    <w:rsid w:val="3E4306C7"/>
    <w:rsid w:val="3E470F13"/>
    <w:rsid w:val="3E4E54CC"/>
    <w:rsid w:val="3E622282"/>
    <w:rsid w:val="3E700419"/>
    <w:rsid w:val="3E811AE0"/>
    <w:rsid w:val="3E8317DF"/>
    <w:rsid w:val="3E8610B8"/>
    <w:rsid w:val="3E883CCB"/>
    <w:rsid w:val="3EA04D2D"/>
    <w:rsid w:val="3EA44E1B"/>
    <w:rsid w:val="3EB45BDF"/>
    <w:rsid w:val="3EB94F96"/>
    <w:rsid w:val="3EC5654D"/>
    <w:rsid w:val="3EC74A0D"/>
    <w:rsid w:val="3ED033BC"/>
    <w:rsid w:val="3EDF4CB9"/>
    <w:rsid w:val="3F096AD8"/>
    <w:rsid w:val="3F0E4AA7"/>
    <w:rsid w:val="3F1D1FCC"/>
    <w:rsid w:val="3F2610A0"/>
    <w:rsid w:val="3F27456A"/>
    <w:rsid w:val="3F2B2E33"/>
    <w:rsid w:val="3F2E427C"/>
    <w:rsid w:val="3F2F66E9"/>
    <w:rsid w:val="3F322E39"/>
    <w:rsid w:val="3F390BB5"/>
    <w:rsid w:val="3F5F68C7"/>
    <w:rsid w:val="3F714A10"/>
    <w:rsid w:val="3F881F15"/>
    <w:rsid w:val="3F8D754C"/>
    <w:rsid w:val="3FB378BB"/>
    <w:rsid w:val="3FBC41E1"/>
    <w:rsid w:val="3FBC7295"/>
    <w:rsid w:val="3FC42A3E"/>
    <w:rsid w:val="3FD1213C"/>
    <w:rsid w:val="3FE31D82"/>
    <w:rsid w:val="3FEE7226"/>
    <w:rsid w:val="3FF268FF"/>
    <w:rsid w:val="3FF52E3B"/>
    <w:rsid w:val="3FF60A01"/>
    <w:rsid w:val="3FF644F9"/>
    <w:rsid w:val="3FFC534D"/>
    <w:rsid w:val="4020026D"/>
    <w:rsid w:val="402A166B"/>
    <w:rsid w:val="402D3364"/>
    <w:rsid w:val="40352089"/>
    <w:rsid w:val="40433886"/>
    <w:rsid w:val="404515E1"/>
    <w:rsid w:val="404829BD"/>
    <w:rsid w:val="40543C01"/>
    <w:rsid w:val="40722C36"/>
    <w:rsid w:val="40737DC3"/>
    <w:rsid w:val="40793B1F"/>
    <w:rsid w:val="40976F71"/>
    <w:rsid w:val="40981061"/>
    <w:rsid w:val="409A0394"/>
    <w:rsid w:val="40A33ECA"/>
    <w:rsid w:val="40DC025B"/>
    <w:rsid w:val="40E03BEA"/>
    <w:rsid w:val="40E13357"/>
    <w:rsid w:val="40ED2A87"/>
    <w:rsid w:val="40FD5F9C"/>
    <w:rsid w:val="41054C4F"/>
    <w:rsid w:val="41071C3C"/>
    <w:rsid w:val="4110485F"/>
    <w:rsid w:val="41225E28"/>
    <w:rsid w:val="41311F7D"/>
    <w:rsid w:val="41347CB9"/>
    <w:rsid w:val="413A7FA0"/>
    <w:rsid w:val="416370E6"/>
    <w:rsid w:val="416431B2"/>
    <w:rsid w:val="416831CB"/>
    <w:rsid w:val="417518B6"/>
    <w:rsid w:val="41815267"/>
    <w:rsid w:val="41913E4C"/>
    <w:rsid w:val="4192208C"/>
    <w:rsid w:val="419E41FD"/>
    <w:rsid w:val="41BD00BD"/>
    <w:rsid w:val="41C0758B"/>
    <w:rsid w:val="41C1720A"/>
    <w:rsid w:val="41C851E7"/>
    <w:rsid w:val="41C94DFD"/>
    <w:rsid w:val="41DF7E68"/>
    <w:rsid w:val="41E8711F"/>
    <w:rsid w:val="420B22E0"/>
    <w:rsid w:val="421B0DE4"/>
    <w:rsid w:val="422412C9"/>
    <w:rsid w:val="422977E2"/>
    <w:rsid w:val="423B6BAC"/>
    <w:rsid w:val="425E2499"/>
    <w:rsid w:val="427156DC"/>
    <w:rsid w:val="42805B2C"/>
    <w:rsid w:val="429016DA"/>
    <w:rsid w:val="42AD454E"/>
    <w:rsid w:val="42AF2A6F"/>
    <w:rsid w:val="42BB718B"/>
    <w:rsid w:val="42C279F3"/>
    <w:rsid w:val="42DC7FA5"/>
    <w:rsid w:val="42E23A23"/>
    <w:rsid w:val="42EE08A0"/>
    <w:rsid w:val="42F16AFC"/>
    <w:rsid w:val="42F8391A"/>
    <w:rsid w:val="42FF2220"/>
    <w:rsid w:val="43002024"/>
    <w:rsid w:val="4311362D"/>
    <w:rsid w:val="431B438D"/>
    <w:rsid w:val="432804A2"/>
    <w:rsid w:val="43397F9C"/>
    <w:rsid w:val="43477A97"/>
    <w:rsid w:val="43552C4C"/>
    <w:rsid w:val="43606EE8"/>
    <w:rsid w:val="4368255F"/>
    <w:rsid w:val="43721529"/>
    <w:rsid w:val="43A6157B"/>
    <w:rsid w:val="43CD2A6A"/>
    <w:rsid w:val="43D34484"/>
    <w:rsid w:val="43D97BA5"/>
    <w:rsid w:val="43DA1DDA"/>
    <w:rsid w:val="43E375FA"/>
    <w:rsid w:val="43ED27F4"/>
    <w:rsid w:val="44183651"/>
    <w:rsid w:val="442F23EA"/>
    <w:rsid w:val="44387B6B"/>
    <w:rsid w:val="445C39B2"/>
    <w:rsid w:val="446813A6"/>
    <w:rsid w:val="447B0A34"/>
    <w:rsid w:val="44905E4F"/>
    <w:rsid w:val="44A029E6"/>
    <w:rsid w:val="44A02C22"/>
    <w:rsid w:val="44B24162"/>
    <w:rsid w:val="44B25954"/>
    <w:rsid w:val="44B353F1"/>
    <w:rsid w:val="44B57ECA"/>
    <w:rsid w:val="44C70D28"/>
    <w:rsid w:val="44D90609"/>
    <w:rsid w:val="44DC174D"/>
    <w:rsid w:val="44E43637"/>
    <w:rsid w:val="44E90B43"/>
    <w:rsid w:val="44ED3080"/>
    <w:rsid w:val="45100193"/>
    <w:rsid w:val="451B4B19"/>
    <w:rsid w:val="451B643C"/>
    <w:rsid w:val="452E317F"/>
    <w:rsid w:val="453424C2"/>
    <w:rsid w:val="45400BC0"/>
    <w:rsid w:val="454A6AA8"/>
    <w:rsid w:val="457F1218"/>
    <w:rsid w:val="45804ABC"/>
    <w:rsid w:val="4592722D"/>
    <w:rsid w:val="45947A5E"/>
    <w:rsid w:val="45986ACE"/>
    <w:rsid w:val="459B11C2"/>
    <w:rsid w:val="459C30AC"/>
    <w:rsid w:val="45A240C0"/>
    <w:rsid w:val="45B548B9"/>
    <w:rsid w:val="45C02BA7"/>
    <w:rsid w:val="45C513D8"/>
    <w:rsid w:val="45C85787"/>
    <w:rsid w:val="45CD39B6"/>
    <w:rsid w:val="45D077D4"/>
    <w:rsid w:val="45D804F3"/>
    <w:rsid w:val="45E54DCE"/>
    <w:rsid w:val="4607528C"/>
    <w:rsid w:val="46080E30"/>
    <w:rsid w:val="46264080"/>
    <w:rsid w:val="46303BED"/>
    <w:rsid w:val="46310CC3"/>
    <w:rsid w:val="4642015D"/>
    <w:rsid w:val="46464040"/>
    <w:rsid w:val="46B2350F"/>
    <w:rsid w:val="46B62027"/>
    <w:rsid w:val="46B9378E"/>
    <w:rsid w:val="46BE38F9"/>
    <w:rsid w:val="46C15D1A"/>
    <w:rsid w:val="46C30C73"/>
    <w:rsid w:val="46C86EBD"/>
    <w:rsid w:val="46C9461B"/>
    <w:rsid w:val="46F22FE0"/>
    <w:rsid w:val="46F73319"/>
    <w:rsid w:val="46FA7D9D"/>
    <w:rsid w:val="470353E8"/>
    <w:rsid w:val="470B3C00"/>
    <w:rsid w:val="470E68C7"/>
    <w:rsid w:val="47164226"/>
    <w:rsid w:val="473A6481"/>
    <w:rsid w:val="474642EB"/>
    <w:rsid w:val="474B171C"/>
    <w:rsid w:val="47525C7E"/>
    <w:rsid w:val="47667359"/>
    <w:rsid w:val="47706C47"/>
    <w:rsid w:val="477711BF"/>
    <w:rsid w:val="477A66C7"/>
    <w:rsid w:val="4781193C"/>
    <w:rsid w:val="479223D3"/>
    <w:rsid w:val="47986AF6"/>
    <w:rsid w:val="47A961C6"/>
    <w:rsid w:val="47AC10D3"/>
    <w:rsid w:val="47B315BA"/>
    <w:rsid w:val="47B3302F"/>
    <w:rsid w:val="47BA7E67"/>
    <w:rsid w:val="47F76470"/>
    <w:rsid w:val="48052A48"/>
    <w:rsid w:val="482115C2"/>
    <w:rsid w:val="48276360"/>
    <w:rsid w:val="48340765"/>
    <w:rsid w:val="48363525"/>
    <w:rsid w:val="485C32AD"/>
    <w:rsid w:val="486C68F9"/>
    <w:rsid w:val="486E3D48"/>
    <w:rsid w:val="487E02E7"/>
    <w:rsid w:val="48873779"/>
    <w:rsid w:val="48940F89"/>
    <w:rsid w:val="48A26C6C"/>
    <w:rsid w:val="48AF38D0"/>
    <w:rsid w:val="48B84574"/>
    <w:rsid w:val="48BB6A1B"/>
    <w:rsid w:val="48D66CA0"/>
    <w:rsid w:val="48DE155D"/>
    <w:rsid w:val="48EC74BA"/>
    <w:rsid w:val="48F15DFA"/>
    <w:rsid w:val="491444D0"/>
    <w:rsid w:val="491A27B4"/>
    <w:rsid w:val="49217162"/>
    <w:rsid w:val="492C6E96"/>
    <w:rsid w:val="4939735D"/>
    <w:rsid w:val="4946496C"/>
    <w:rsid w:val="4950642B"/>
    <w:rsid w:val="49546ABC"/>
    <w:rsid w:val="49623251"/>
    <w:rsid w:val="49760A60"/>
    <w:rsid w:val="497870AA"/>
    <w:rsid w:val="49871008"/>
    <w:rsid w:val="49925B21"/>
    <w:rsid w:val="49B3327B"/>
    <w:rsid w:val="49B80030"/>
    <w:rsid w:val="49D03A99"/>
    <w:rsid w:val="49D27044"/>
    <w:rsid w:val="49FA00B5"/>
    <w:rsid w:val="4A125FD0"/>
    <w:rsid w:val="4A1D6721"/>
    <w:rsid w:val="4A3B22F0"/>
    <w:rsid w:val="4A4159F7"/>
    <w:rsid w:val="4A50773D"/>
    <w:rsid w:val="4A5F6435"/>
    <w:rsid w:val="4A870A21"/>
    <w:rsid w:val="4A8F4074"/>
    <w:rsid w:val="4A9455DF"/>
    <w:rsid w:val="4A9F3553"/>
    <w:rsid w:val="4AAE33D4"/>
    <w:rsid w:val="4ABE3D01"/>
    <w:rsid w:val="4AC6435A"/>
    <w:rsid w:val="4AC66241"/>
    <w:rsid w:val="4AC70B11"/>
    <w:rsid w:val="4ACA380C"/>
    <w:rsid w:val="4AD41EBE"/>
    <w:rsid w:val="4AE271C7"/>
    <w:rsid w:val="4AE91592"/>
    <w:rsid w:val="4AF733EF"/>
    <w:rsid w:val="4B02722E"/>
    <w:rsid w:val="4B095D7F"/>
    <w:rsid w:val="4B0F7302"/>
    <w:rsid w:val="4B1955C4"/>
    <w:rsid w:val="4B283656"/>
    <w:rsid w:val="4B2A5E61"/>
    <w:rsid w:val="4B392A6F"/>
    <w:rsid w:val="4B3B7EF9"/>
    <w:rsid w:val="4B3E3C9E"/>
    <w:rsid w:val="4B40712D"/>
    <w:rsid w:val="4B4A3500"/>
    <w:rsid w:val="4B516045"/>
    <w:rsid w:val="4B5A73D8"/>
    <w:rsid w:val="4B7E1EBA"/>
    <w:rsid w:val="4B811BB5"/>
    <w:rsid w:val="4B9B03C5"/>
    <w:rsid w:val="4BA74D6D"/>
    <w:rsid w:val="4BAC19DC"/>
    <w:rsid w:val="4BB8039B"/>
    <w:rsid w:val="4BE118E0"/>
    <w:rsid w:val="4BEE1B3C"/>
    <w:rsid w:val="4C1A535D"/>
    <w:rsid w:val="4C1B0872"/>
    <w:rsid w:val="4C2941CA"/>
    <w:rsid w:val="4C307F02"/>
    <w:rsid w:val="4C310DE1"/>
    <w:rsid w:val="4C434AF6"/>
    <w:rsid w:val="4C5E0A37"/>
    <w:rsid w:val="4C6D78D8"/>
    <w:rsid w:val="4C720F36"/>
    <w:rsid w:val="4C77426A"/>
    <w:rsid w:val="4C786B0A"/>
    <w:rsid w:val="4C844F21"/>
    <w:rsid w:val="4C8C7123"/>
    <w:rsid w:val="4C9209E9"/>
    <w:rsid w:val="4CA23850"/>
    <w:rsid w:val="4CB00222"/>
    <w:rsid w:val="4CBA6EF2"/>
    <w:rsid w:val="4CBF43BE"/>
    <w:rsid w:val="4CD46532"/>
    <w:rsid w:val="4CD73856"/>
    <w:rsid w:val="4CD841F0"/>
    <w:rsid w:val="4CD87782"/>
    <w:rsid w:val="4CE6556A"/>
    <w:rsid w:val="4CF23455"/>
    <w:rsid w:val="4CF2778F"/>
    <w:rsid w:val="4CF76CE2"/>
    <w:rsid w:val="4D0A24D1"/>
    <w:rsid w:val="4D0D65F9"/>
    <w:rsid w:val="4D171694"/>
    <w:rsid w:val="4D1C01E1"/>
    <w:rsid w:val="4D1D0CE0"/>
    <w:rsid w:val="4D21105D"/>
    <w:rsid w:val="4D2867F3"/>
    <w:rsid w:val="4D3B4085"/>
    <w:rsid w:val="4D434CA6"/>
    <w:rsid w:val="4D46291D"/>
    <w:rsid w:val="4D4A0C28"/>
    <w:rsid w:val="4D525DAE"/>
    <w:rsid w:val="4D5B7F70"/>
    <w:rsid w:val="4D6E4463"/>
    <w:rsid w:val="4D776DC3"/>
    <w:rsid w:val="4D781B23"/>
    <w:rsid w:val="4D7C556B"/>
    <w:rsid w:val="4D814D3B"/>
    <w:rsid w:val="4D8262E8"/>
    <w:rsid w:val="4D9E6B94"/>
    <w:rsid w:val="4DA356F9"/>
    <w:rsid w:val="4DAD6CBF"/>
    <w:rsid w:val="4DBF619F"/>
    <w:rsid w:val="4DBF6795"/>
    <w:rsid w:val="4DF70B53"/>
    <w:rsid w:val="4DFD3850"/>
    <w:rsid w:val="4E184F5A"/>
    <w:rsid w:val="4E2E3CA5"/>
    <w:rsid w:val="4E4E54E2"/>
    <w:rsid w:val="4E523D5B"/>
    <w:rsid w:val="4E666232"/>
    <w:rsid w:val="4E702FAD"/>
    <w:rsid w:val="4E742E26"/>
    <w:rsid w:val="4E793FD7"/>
    <w:rsid w:val="4E7E7563"/>
    <w:rsid w:val="4E9942E0"/>
    <w:rsid w:val="4E9E419B"/>
    <w:rsid w:val="4ECF08DB"/>
    <w:rsid w:val="4EEF6956"/>
    <w:rsid w:val="4EF10F50"/>
    <w:rsid w:val="4EF162D7"/>
    <w:rsid w:val="4EFA63EC"/>
    <w:rsid w:val="4F0765C7"/>
    <w:rsid w:val="4F1B4240"/>
    <w:rsid w:val="4F1F1FCE"/>
    <w:rsid w:val="4F280575"/>
    <w:rsid w:val="4F36706B"/>
    <w:rsid w:val="4F4C60DE"/>
    <w:rsid w:val="4F4E3230"/>
    <w:rsid w:val="4F5A7968"/>
    <w:rsid w:val="4F5B1C3D"/>
    <w:rsid w:val="4F7933F9"/>
    <w:rsid w:val="4F8678B9"/>
    <w:rsid w:val="4F8F2829"/>
    <w:rsid w:val="4F985F42"/>
    <w:rsid w:val="4FA50BD6"/>
    <w:rsid w:val="4FB62175"/>
    <w:rsid w:val="4FC06171"/>
    <w:rsid w:val="4FC5365A"/>
    <w:rsid w:val="4FCC0EB9"/>
    <w:rsid w:val="4FE36580"/>
    <w:rsid w:val="4FE80051"/>
    <w:rsid w:val="4FED4BEC"/>
    <w:rsid w:val="50017ABD"/>
    <w:rsid w:val="50084D2E"/>
    <w:rsid w:val="50151414"/>
    <w:rsid w:val="50263AA7"/>
    <w:rsid w:val="503839AD"/>
    <w:rsid w:val="50464842"/>
    <w:rsid w:val="50573316"/>
    <w:rsid w:val="506703D4"/>
    <w:rsid w:val="50792974"/>
    <w:rsid w:val="509B04F0"/>
    <w:rsid w:val="509C5947"/>
    <w:rsid w:val="50C46433"/>
    <w:rsid w:val="50C515FE"/>
    <w:rsid w:val="50CA1F64"/>
    <w:rsid w:val="50CF7A25"/>
    <w:rsid w:val="50D21997"/>
    <w:rsid w:val="50D540CE"/>
    <w:rsid w:val="50E03B1A"/>
    <w:rsid w:val="511176B7"/>
    <w:rsid w:val="511364D4"/>
    <w:rsid w:val="51175815"/>
    <w:rsid w:val="5124788D"/>
    <w:rsid w:val="512F4B55"/>
    <w:rsid w:val="5141387C"/>
    <w:rsid w:val="51457246"/>
    <w:rsid w:val="515D62F6"/>
    <w:rsid w:val="515F7EA6"/>
    <w:rsid w:val="51654AF5"/>
    <w:rsid w:val="516774DC"/>
    <w:rsid w:val="517106E4"/>
    <w:rsid w:val="517B5B8A"/>
    <w:rsid w:val="517D1C73"/>
    <w:rsid w:val="517E6F38"/>
    <w:rsid w:val="51826C8A"/>
    <w:rsid w:val="51833B38"/>
    <w:rsid w:val="5186439F"/>
    <w:rsid w:val="51887C28"/>
    <w:rsid w:val="51A07B6A"/>
    <w:rsid w:val="51AB5F82"/>
    <w:rsid w:val="51B33439"/>
    <w:rsid w:val="51C170CF"/>
    <w:rsid w:val="51DF1C17"/>
    <w:rsid w:val="51E87A23"/>
    <w:rsid w:val="51EE068B"/>
    <w:rsid w:val="51F051E2"/>
    <w:rsid w:val="51F25498"/>
    <w:rsid w:val="52030425"/>
    <w:rsid w:val="520363BE"/>
    <w:rsid w:val="520E7D84"/>
    <w:rsid w:val="5210435E"/>
    <w:rsid w:val="52175A3A"/>
    <w:rsid w:val="521903F2"/>
    <w:rsid w:val="522D2E8B"/>
    <w:rsid w:val="52324D19"/>
    <w:rsid w:val="524543F0"/>
    <w:rsid w:val="52463294"/>
    <w:rsid w:val="52473222"/>
    <w:rsid w:val="524C1ED0"/>
    <w:rsid w:val="525F4767"/>
    <w:rsid w:val="52644D63"/>
    <w:rsid w:val="526D3764"/>
    <w:rsid w:val="52733E63"/>
    <w:rsid w:val="527A6198"/>
    <w:rsid w:val="527C4ABC"/>
    <w:rsid w:val="528B7EE4"/>
    <w:rsid w:val="52905523"/>
    <w:rsid w:val="52917202"/>
    <w:rsid w:val="52974707"/>
    <w:rsid w:val="529E29B3"/>
    <w:rsid w:val="52A27619"/>
    <w:rsid w:val="52A65E42"/>
    <w:rsid w:val="52AB0471"/>
    <w:rsid w:val="52AE380A"/>
    <w:rsid w:val="52C055CC"/>
    <w:rsid w:val="52C90AF4"/>
    <w:rsid w:val="52C951D3"/>
    <w:rsid w:val="52D271FE"/>
    <w:rsid w:val="52DB6FB3"/>
    <w:rsid w:val="52F6129D"/>
    <w:rsid w:val="530D42FC"/>
    <w:rsid w:val="532A2CA5"/>
    <w:rsid w:val="533B3638"/>
    <w:rsid w:val="533C141C"/>
    <w:rsid w:val="5342345C"/>
    <w:rsid w:val="534701F9"/>
    <w:rsid w:val="5347639A"/>
    <w:rsid w:val="534E4739"/>
    <w:rsid w:val="53611DE1"/>
    <w:rsid w:val="53627516"/>
    <w:rsid w:val="536D7664"/>
    <w:rsid w:val="53846EBB"/>
    <w:rsid w:val="5387709E"/>
    <w:rsid w:val="53944D76"/>
    <w:rsid w:val="5395469F"/>
    <w:rsid w:val="53976DBB"/>
    <w:rsid w:val="53A46E62"/>
    <w:rsid w:val="53B53FCC"/>
    <w:rsid w:val="53BB50E3"/>
    <w:rsid w:val="53C548B5"/>
    <w:rsid w:val="53C620AB"/>
    <w:rsid w:val="53C87335"/>
    <w:rsid w:val="53CE394C"/>
    <w:rsid w:val="53E1498E"/>
    <w:rsid w:val="53F00528"/>
    <w:rsid w:val="53FE59FD"/>
    <w:rsid w:val="540934CB"/>
    <w:rsid w:val="540B5F73"/>
    <w:rsid w:val="540D2DB1"/>
    <w:rsid w:val="5413703F"/>
    <w:rsid w:val="541452DD"/>
    <w:rsid w:val="542B01CC"/>
    <w:rsid w:val="54421ADB"/>
    <w:rsid w:val="545818DC"/>
    <w:rsid w:val="545D265B"/>
    <w:rsid w:val="54755FCF"/>
    <w:rsid w:val="54796DB6"/>
    <w:rsid w:val="54832891"/>
    <w:rsid w:val="54D023C7"/>
    <w:rsid w:val="54ED01A4"/>
    <w:rsid w:val="54F90984"/>
    <w:rsid w:val="54FB7A82"/>
    <w:rsid w:val="55090316"/>
    <w:rsid w:val="55093E22"/>
    <w:rsid w:val="55160047"/>
    <w:rsid w:val="55170F36"/>
    <w:rsid w:val="552A4387"/>
    <w:rsid w:val="553779C7"/>
    <w:rsid w:val="556E142B"/>
    <w:rsid w:val="55744A0B"/>
    <w:rsid w:val="558F42FA"/>
    <w:rsid w:val="55921C54"/>
    <w:rsid w:val="559B1B42"/>
    <w:rsid w:val="559D7F69"/>
    <w:rsid w:val="55A83301"/>
    <w:rsid w:val="55C504B5"/>
    <w:rsid w:val="55CB1CAC"/>
    <w:rsid w:val="55D87CCC"/>
    <w:rsid w:val="55E6600B"/>
    <w:rsid w:val="55E724EF"/>
    <w:rsid w:val="55EE45E5"/>
    <w:rsid w:val="55F06AD7"/>
    <w:rsid w:val="55F549DB"/>
    <w:rsid w:val="55FD3919"/>
    <w:rsid w:val="560E4C3B"/>
    <w:rsid w:val="561373FD"/>
    <w:rsid w:val="56193D4F"/>
    <w:rsid w:val="56216989"/>
    <w:rsid w:val="563A00F5"/>
    <w:rsid w:val="563C653C"/>
    <w:rsid w:val="56470A1E"/>
    <w:rsid w:val="56480D8B"/>
    <w:rsid w:val="56587F76"/>
    <w:rsid w:val="565C7AEB"/>
    <w:rsid w:val="56674043"/>
    <w:rsid w:val="567151CC"/>
    <w:rsid w:val="568F780E"/>
    <w:rsid w:val="569455B9"/>
    <w:rsid w:val="569905E0"/>
    <w:rsid w:val="569E2903"/>
    <w:rsid w:val="56A16F5C"/>
    <w:rsid w:val="56A77B0A"/>
    <w:rsid w:val="56B377CC"/>
    <w:rsid w:val="56B50793"/>
    <w:rsid w:val="56D42BF7"/>
    <w:rsid w:val="56DC24E9"/>
    <w:rsid w:val="56DC7D13"/>
    <w:rsid w:val="56E65609"/>
    <w:rsid w:val="56F93CF6"/>
    <w:rsid w:val="57157D7B"/>
    <w:rsid w:val="57211E57"/>
    <w:rsid w:val="57224E5B"/>
    <w:rsid w:val="57263B9F"/>
    <w:rsid w:val="57455556"/>
    <w:rsid w:val="57505C01"/>
    <w:rsid w:val="57594198"/>
    <w:rsid w:val="575A2551"/>
    <w:rsid w:val="5772015C"/>
    <w:rsid w:val="577737EB"/>
    <w:rsid w:val="577838C7"/>
    <w:rsid w:val="5789721E"/>
    <w:rsid w:val="5790542E"/>
    <w:rsid w:val="57A03CB7"/>
    <w:rsid w:val="57AA2842"/>
    <w:rsid w:val="57AF1DC9"/>
    <w:rsid w:val="57B7535A"/>
    <w:rsid w:val="57C82BAB"/>
    <w:rsid w:val="57DE63D0"/>
    <w:rsid w:val="57E6526A"/>
    <w:rsid w:val="57F85283"/>
    <w:rsid w:val="57F86A47"/>
    <w:rsid w:val="57F9642A"/>
    <w:rsid w:val="581669AF"/>
    <w:rsid w:val="581747A2"/>
    <w:rsid w:val="582A6F6D"/>
    <w:rsid w:val="582B2F6A"/>
    <w:rsid w:val="583802C3"/>
    <w:rsid w:val="58596BE4"/>
    <w:rsid w:val="58873E4D"/>
    <w:rsid w:val="58881176"/>
    <w:rsid w:val="588B1AD1"/>
    <w:rsid w:val="58934585"/>
    <w:rsid w:val="589457E6"/>
    <w:rsid w:val="589474FC"/>
    <w:rsid w:val="58D10224"/>
    <w:rsid w:val="58D64988"/>
    <w:rsid w:val="58D95370"/>
    <w:rsid w:val="58E25E07"/>
    <w:rsid w:val="58E743A4"/>
    <w:rsid w:val="58EA3759"/>
    <w:rsid w:val="58ED6AC7"/>
    <w:rsid w:val="58F60BF8"/>
    <w:rsid w:val="5908601B"/>
    <w:rsid w:val="59324089"/>
    <w:rsid w:val="594A1C1F"/>
    <w:rsid w:val="594B6E4B"/>
    <w:rsid w:val="594E4643"/>
    <w:rsid w:val="595106CA"/>
    <w:rsid w:val="59532A0D"/>
    <w:rsid w:val="5954755D"/>
    <w:rsid w:val="596E497E"/>
    <w:rsid w:val="59777188"/>
    <w:rsid w:val="597A1A42"/>
    <w:rsid w:val="59826013"/>
    <w:rsid w:val="598C2EE8"/>
    <w:rsid w:val="598E2BDA"/>
    <w:rsid w:val="59A37626"/>
    <w:rsid w:val="59A73D03"/>
    <w:rsid w:val="59A96D11"/>
    <w:rsid w:val="59B46283"/>
    <w:rsid w:val="59DB2F9C"/>
    <w:rsid w:val="59E268FB"/>
    <w:rsid w:val="59EF438D"/>
    <w:rsid w:val="59F43F0D"/>
    <w:rsid w:val="5A04350A"/>
    <w:rsid w:val="5A082B87"/>
    <w:rsid w:val="5A0D6A16"/>
    <w:rsid w:val="5A137CEB"/>
    <w:rsid w:val="5A2B68D2"/>
    <w:rsid w:val="5A2E3CE7"/>
    <w:rsid w:val="5A326865"/>
    <w:rsid w:val="5A3D0457"/>
    <w:rsid w:val="5A460A5D"/>
    <w:rsid w:val="5A4D110B"/>
    <w:rsid w:val="5A6C10DC"/>
    <w:rsid w:val="5A786A7F"/>
    <w:rsid w:val="5A794098"/>
    <w:rsid w:val="5A873736"/>
    <w:rsid w:val="5A8813AE"/>
    <w:rsid w:val="5A931D82"/>
    <w:rsid w:val="5A996563"/>
    <w:rsid w:val="5A9E53C1"/>
    <w:rsid w:val="5AB14A31"/>
    <w:rsid w:val="5AB5633F"/>
    <w:rsid w:val="5AB6213B"/>
    <w:rsid w:val="5AD10776"/>
    <w:rsid w:val="5ADB234C"/>
    <w:rsid w:val="5AF00614"/>
    <w:rsid w:val="5AFB28C7"/>
    <w:rsid w:val="5AFE6F0B"/>
    <w:rsid w:val="5B006684"/>
    <w:rsid w:val="5B0C41DC"/>
    <w:rsid w:val="5B147DD7"/>
    <w:rsid w:val="5B242100"/>
    <w:rsid w:val="5B2E7EB2"/>
    <w:rsid w:val="5B403041"/>
    <w:rsid w:val="5B506AC3"/>
    <w:rsid w:val="5B5A3E4E"/>
    <w:rsid w:val="5B626F68"/>
    <w:rsid w:val="5B6A5872"/>
    <w:rsid w:val="5B702F12"/>
    <w:rsid w:val="5B7979DB"/>
    <w:rsid w:val="5BD530C5"/>
    <w:rsid w:val="5BEC3867"/>
    <w:rsid w:val="5BFA1654"/>
    <w:rsid w:val="5C1C410E"/>
    <w:rsid w:val="5C24342B"/>
    <w:rsid w:val="5C2F7B0C"/>
    <w:rsid w:val="5C370C3D"/>
    <w:rsid w:val="5C3A3FAF"/>
    <w:rsid w:val="5C3D01F5"/>
    <w:rsid w:val="5C691BBE"/>
    <w:rsid w:val="5C7171FB"/>
    <w:rsid w:val="5C830DC2"/>
    <w:rsid w:val="5C9B2449"/>
    <w:rsid w:val="5C9E7AFC"/>
    <w:rsid w:val="5CB00B08"/>
    <w:rsid w:val="5CB37FC1"/>
    <w:rsid w:val="5CB92A4C"/>
    <w:rsid w:val="5CBA69D3"/>
    <w:rsid w:val="5CC31175"/>
    <w:rsid w:val="5CCC2C10"/>
    <w:rsid w:val="5CD03A5B"/>
    <w:rsid w:val="5CD41AA0"/>
    <w:rsid w:val="5CD64E88"/>
    <w:rsid w:val="5CF06106"/>
    <w:rsid w:val="5D002075"/>
    <w:rsid w:val="5D041DC0"/>
    <w:rsid w:val="5D092547"/>
    <w:rsid w:val="5D155469"/>
    <w:rsid w:val="5D1B08E2"/>
    <w:rsid w:val="5D1B79E4"/>
    <w:rsid w:val="5D247070"/>
    <w:rsid w:val="5D2E70CD"/>
    <w:rsid w:val="5D386A39"/>
    <w:rsid w:val="5D49262C"/>
    <w:rsid w:val="5D4A1342"/>
    <w:rsid w:val="5D597BAB"/>
    <w:rsid w:val="5D602867"/>
    <w:rsid w:val="5D694FEA"/>
    <w:rsid w:val="5D6A5A41"/>
    <w:rsid w:val="5D6D4E66"/>
    <w:rsid w:val="5D7143B3"/>
    <w:rsid w:val="5D906EFD"/>
    <w:rsid w:val="5DA12B26"/>
    <w:rsid w:val="5DA500AE"/>
    <w:rsid w:val="5DBC3CC1"/>
    <w:rsid w:val="5DBC5917"/>
    <w:rsid w:val="5DCD469A"/>
    <w:rsid w:val="5DEC3487"/>
    <w:rsid w:val="5E026B01"/>
    <w:rsid w:val="5E0914A4"/>
    <w:rsid w:val="5E2A2E3B"/>
    <w:rsid w:val="5E2B0D64"/>
    <w:rsid w:val="5E374F30"/>
    <w:rsid w:val="5E475AA7"/>
    <w:rsid w:val="5E4B405C"/>
    <w:rsid w:val="5E50761C"/>
    <w:rsid w:val="5E561B3F"/>
    <w:rsid w:val="5E584A22"/>
    <w:rsid w:val="5E811127"/>
    <w:rsid w:val="5E857C28"/>
    <w:rsid w:val="5E894506"/>
    <w:rsid w:val="5E8B5A56"/>
    <w:rsid w:val="5E926C03"/>
    <w:rsid w:val="5EB313BB"/>
    <w:rsid w:val="5ECB7BF2"/>
    <w:rsid w:val="5ED90F17"/>
    <w:rsid w:val="5ED939A5"/>
    <w:rsid w:val="5EEC31B8"/>
    <w:rsid w:val="5EEF0E16"/>
    <w:rsid w:val="5F022862"/>
    <w:rsid w:val="5F023B2A"/>
    <w:rsid w:val="5F1B18E3"/>
    <w:rsid w:val="5F1D5366"/>
    <w:rsid w:val="5F200FB0"/>
    <w:rsid w:val="5F217C35"/>
    <w:rsid w:val="5F2E502C"/>
    <w:rsid w:val="5F457B85"/>
    <w:rsid w:val="5F5C1712"/>
    <w:rsid w:val="5F6A6E3A"/>
    <w:rsid w:val="5F7704D4"/>
    <w:rsid w:val="5F817E11"/>
    <w:rsid w:val="5F8E78F8"/>
    <w:rsid w:val="5F907C51"/>
    <w:rsid w:val="5F9A5B63"/>
    <w:rsid w:val="5FBA4720"/>
    <w:rsid w:val="5FC6630C"/>
    <w:rsid w:val="5FD71FDD"/>
    <w:rsid w:val="5FED4A82"/>
    <w:rsid w:val="60120515"/>
    <w:rsid w:val="602357F7"/>
    <w:rsid w:val="60351F96"/>
    <w:rsid w:val="6036076A"/>
    <w:rsid w:val="604D59E9"/>
    <w:rsid w:val="606E27EE"/>
    <w:rsid w:val="606E343E"/>
    <w:rsid w:val="607960B2"/>
    <w:rsid w:val="607C202D"/>
    <w:rsid w:val="60806EBC"/>
    <w:rsid w:val="60927BCE"/>
    <w:rsid w:val="6094012C"/>
    <w:rsid w:val="60A3523F"/>
    <w:rsid w:val="60A6700B"/>
    <w:rsid w:val="60AD295E"/>
    <w:rsid w:val="60DF2E51"/>
    <w:rsid w:val="60E371C0"/>
    <w:rsid w:val="60EC206D"/>
    <w:rsid w:val="60EE3ACD"/>
    <w:rsid w:val="60EE4F5A"/>
    <w:rsid w:val="60F00CB4"/>
    <w:rsid w:val="610D7AFA"/>
    <w:rsid w:val="61112636"/>
    <w:rsid w:val="613C67E2"/>
    <w:rsid w:val="61543211"/>
    <w:rsid w:val="61577ABB"/>
    <w:rsid w:val="615A515A"/>
    <w:rsid w:val="6164018B"/>
    <w:rsid w:val="616D7116"/>
    <w:rsid w:val="618608B6"/>
    <w:rsid w:val="61864EB8"/>
    <w:rsid w:val="61A26396"/>
    <w:rsid w:val="61B63455"/>
    <w:rsid w:val="61B8433A"/>
    <w:rsid w:val="61B85B31"/>
    <w:rsid w:val="61D84FBD"/>
    <w:rsid w:val="61DF63A8"/>
    <w:rsid w:val="61EB62CC"/>
    <w:rsid w:val="6202201C"/>
    <w:rsid w:val="620B2703"/>
    <w:rsid w:val="62126C1A"/>
    <w:rsid w:val="621D2306"/>
    <w:rsid w:val="621E05EF"/>
    <w:rsid w:val="62307DA0"/>
    <w:rsid w:val="62601E8F"/>
    <w:rsid w:val="626519AE"/>
    <w:rsid w:val="62690F67"/>
    <w:rsid w:val="626955C5"/>
    <w:rsid w:val="626C2008"/>
    <w:rsid w:val="626D3D00"/>
    <w:rsid w:val="62706A8A"/>
    <w:rsid w:val="6277447D"/>
    <w:rsid w:val="628D0431"/>
    <w:rsid w:val="628F1B26"/>
    <w:rsid w:val="629672D5"/>
    <w:rsid w:val="62990512"/>
    <w:rsid w:val="62A160D1"/>
    <w:rsid w:val="62B56037"/>
    <w:rsid w:val="62C3692C"/>
    <w:rsid w:val="62C44109"/>
    <w:rsid w:val="62DA4D50"/>
    <w:rsid w:val="62F9514F"/>
    <w:rsid w:val="630A50A8"/>
    <w:rsid w:val="63100A0F"/>
    <w:rsid w:val="632060A8"/>
    <w:rsid w:val="63235E3E"/>
    <w:rsid w:val="63395A14"/>
    <w:rsid w:val="63477B21"/>
    <w:rsid w:val="634A1FC7"/>
    <w:rsid w:val="63605694"/>
    <w:rsid w:val="63647B9E"/>
    <w:rsid w:val="637C7089"/>
    <w:rsid w:val="6381778C"/>
    <w:rsid w:val="63905FCF"/>
    <w:rsid w:val="639174EE"/>
    <w:rsid w:val="63B6442A"/>
    <w:rsid w:val="63BF0A69"/>
    <w:rsid w:val="63C81348"/>
    <w:rsid w:val="63CA29B9"/>
    <w:rsid w:val="63D30587"/>
    <w:rsid w:val="63D3253C"/>
    <w:rsid w:val="63D83594"/>
    <w:rsid w:val="63D8442C"/>
    <w:rsid w:val="63EF362E"/>
    <w:rsid w:val="640A6014"/>
    <w:rsid w:val="64113635"/>
    <w:rsid w:val="64122DFD"/>
    <w:rsid w:val="642F43CB"/>
    <w:rsid w:val="64307255"/>
    <w:rsid w:val="64334C37"/>
    <w:rsid w:val="643D6902"/>
    <w:rsid w:val="643F729F"/>
    <w:rsid w:val="64410116"/>
    <w:rsid w:val="64412FC5"/>
    <w:rsid w:val="644C2EC3"/>
    <w:rsid w:val="645021A1"/>
    <w:rsid w:val="64647575"/>
    <w:rsid w:val="647543A4"/>
    <w:rsid w:val="64800C1D"/>
    <w:rsid w:val="64807B82"/>
    <w:rsid w:val="64830353"/>
    <w:rsid w:val="64912D86"/>
    <w:rsid w:val="64B07BD6"/>
    <w:rsid w:val="64B53477"/>
    <w:rsid w:val="64BC3D35"/>
    <w:rsid w:val="64BD7A01"/>
    <w:rsid w:val="64C959BE"/>
    <w:rsid w:val="64D054CC"/>
    <w:rsid w:val="64E0331D"/>
    <w:rsid w:val="64FA4141"/>
    <w:rsid w:val="64FD0010"/>
    <w:rsid w:val="65025E56"/>
    <w:rsid w:val="650C62F3"/>
    <w:rsid w:val="652C1787"/>
    <w:rsid w:val="653046DE"/>
    <w:rsid w:val="654936EA"/>
    <w:rsid w:val="656977F7"/>
    <w:rsid w:val="656A573C"/>
    <w:rsid w:val="65734120"/>
    <w:rsid w:val="657406DD"/>
    <w:rsid w:val="659624FE"/>
    <w:rsid w:val="65A60680"/>
    <w:rsid w:val="65AA173A"/>
    <w:rsid w:val="65B61D01"/>
    <w:rsid w:val="65BC0542"/>
    <w:rsid w:val="65C67889"/>
    <w:rsid w:val="65D03797"/>
    <w:rsid w:val="65D134BE"/>
    <w:rsid w:val="65D13721"/>
    <w:rsid w:val="65DA253B"/>
    <w:rsid w:val="660536B1"/>
    <w:rsid w:val="66335D7C"/>
    <w:rsid w:val="66366C78"/>
    <w:rsid w:val="66497B34"/>
    <w:rsid w:val="664D4330"/>
    <w:rsid w:val="665B2581"/>
    <w:rsid w:val="666773A1"/>
    <w:rsid w:val="66795B43"/>
    <w:rsid w:val="667A0292"/>
    <w:rsid w:val="66843C27"/>
    <w:rsid w:val="66AA3F91"/>
    <w:rsid w:val="66B20B8D"/>
    <w:rsid w:val="66C6028C"/>
    <w:rsid w:val="66E206E1"/>
    <w:rsid w:val="66EA62EA"/>
    <w:rsid w:val="66F339D6"/>
    <w:rsid w:val="66F51593"/>
    <w:rsid w:val="66F6347F"/>
    <w:rsid w:val="66FE30D6"/>
    <w:rsid w:val="67002662"/>
    <w:rsid w:val="6711213F"/>
    <w:rsid w:val="672549D0"/>
    <w:rsid w:val="67277AEA"/>
    <w:rsid w:val="672C6DA8"/>
    <w:rsid w:val="67372792"/>
    <w:rsid w:val="67410A12"/>
    <w:rsid w:val="67497E3C"/>
    <w:rsid w:val="67560DBE"/>
    <w:rsid w:val="675B6F05"/>
    <w:rsid w:val="677974AB"/>
    <w:rsid w:val="677B3F21"/>
    <w:rsid w:val="67837291"/>
    <w:rsid w:val="67855AC4"/>
    <w:rsid w:val="678608BA"/>
    <w:rsid w:val="678D2193"/>
    <w:rsid w:val="67AB0F4E"/>
    <w:rsid w:val="67AF50CE"/>
    <w:rsid w:val="67B2533A"/>
    <w:rsid w:val="67B34CC7"/>
    <w:rsid w:val="67BB001A"/>
    <w:rsid w:val="67BE5639"/>
    <w:rsid w:val="67E851F1"/>
    <w:rsid w:val="67F8136D"/>
    <w:rsid w:val="67FA3E30"/>
    <w:rsid w:val="680637ED"/>
    <w:rsid w:val="682148A7"/>
    <w:rsid w:val="682230A6"/>
    <w:rsid w:val="68223BF4"/>
    <w:rsid w:val="682C20AC"/>
    <w:rsid w:val="68353473"/>
    <w:rsid w:val="68640E5F"/>
    <w:rsid w:val="686B70BC"/>
    <w:rsid w:val="68716C3B"/>
    <w:rsid w:val="6872143C"/>
    <w:rsid w:val="6878351F"/>
    <w:rsid w:val="687E566C"/>
    <w:rsid w:val="68833D15"/>
    <w:rsid w:val="68847A53"/>
    <w:rsid w:val="68884337"/>
    <w:rsid w:val="688A02A4"/>
    <w:rsid w:val="68923358"/>
    <w:rsid w:val="68A4412F"/>
    <w:rsid w:val="68B11815"/>
    <w:rsid w:val="68CD311D"/>
    <w:rsid w:val="68CE004D"/>
    <w:rsid w:val="68DE3035"/>
    <w:rsid w:val="69016C31"/>
    <w:rsid w:val="69030DDF"/>
    <w:rsid w:val="690D6CD6"/>
    <w:rsid w:val="69100F86"/>
    <w:rsid w:val="69133F9F"/>
    <w:rsid w:val="692740EE"/>
    <w:rsid w:val="693D1E5D"/>
    <w:rsid w:val="69611825"/>
    <w:rsid w:val="69797C2C"/>
    <w:rsid w:val="697A1C5E"/>
    <w:rsid w:val="697B11CE"/>
    <w:rsid w:val="69823C91"/>
    <w:rsid w:val="6985143F"/>
    <w:rsid w:val="69B207D8"/>
    <w:rsid w:val="69C118D8"/>
    <w:rsid w:val="69C41445"/>
    <w:rsid w:val="69C561D1"/>
    <w:rsid w:val="69C5778C"/>
    <w:rsid w:val="69C64F45"/>
    <w:rsid w:val="69D23E58"/>
    <w:rsid w:val="69DB628A"/>
    <w:rsid w:val="69EA73F6"/>
    <w:rsid w:val="69EB7B29"/>
    <w:rsid w:val="69F34611"/>
    <w:rsid w:val="6A074990"/>
    <w:rsid w:val="6A1261CA"/>
    <w:rsid w:val="6A171969"/>
    <w:rsid w:val="6A1A39CF"/>
    <w:rsid w:val="6A1C7F2E"/>
    <w:rsid w:val="6A1E59C4"/>
    <w:rsid w:val="6A2C0403"/>
    <w:rsid w:val="6A355D8F"/>
    <w:rsid w:val="6A365309"/>
    <w:rsid w:val="6A383F0D"/>
    <w:rsid w:val="6A4E63D2"/>
    <w:rsid w:val="6A6E2DE8"/>
    <w:rsid w:val="6A6E6257"/>
    <w:rsid w:val="6A857D7B"/>
    <w:rsid w:val="6A8B0E18"/>
    <w:rsid w:val="6A934155"/>
    <w:rsid w:val="6AB17A5C"/>
    <w:rsid w:val="6AC36824"/>
    <w:rsid w:val="6AC6240D"/>
    <w:rsid w:val="6ACC1C5A"/>
    <w:rsid w:val="6AD17BE7"/>
    <w:rsid w:val="6AD212CB"/>
    <w:rsid w:val="6AFA02CD"/>
    <w:rsid w:val="6B0B5CAC"/>
    <w:rsid w:val="6B0F3B52"/>
    <w:rsid w:val="6B114BC0"/>
    <w:rsid w:val="6B1362E2"/>
    <w:rsid w:val="6B3B0067"/>
    <w:rsid w:val="6B4C5F2C"/>
    <w:rsid w:val="6B5A07AA"/>
    <w:rsid w:val="6B644CBA"/>
    <w:rsid w:val="6B6C1C7F"/>
    <w:rsid w:val="6B70483E"/>
    <w:rsid w:val="6B731EFB"/>
    <w:rsid w:val="6B757ED3"/>
    <w:rsid w:val="6B8019CD"/>
    <w:rsid w:val="6B877640"/>
    <w:rsid w:val="6B8C5B8B"/>
    <w:rsid w:val="6B8F541A"/>
    <w:rsid w:val="6B906453"/>
    <w:rsid w:val="6B932470"/>
    <w:rsid w:val="6BB4311A"/>
    <w:rsid w:val="6BB512F4"/>
    <w:rsid w:val="6BC03DFB"/>
    <w:rsid w:val="6BD47953"/>
    <w:rsid w:val="6BF04942"/>
    <w:rsid w:val="6C150AF7"/>
    <w:rsid w:val="6C193442"/>
    <w:rsid w:val="6C1E00B5"/>
    <w:rsid w:val="6C285303"/>
    <w:rsid w:val="6C321608"/>
    <w:rsid w:val="6C3F4DC9"/>
    <w:rsid w:val="6C404FA0"/>
    <w:rsid w:val="6C5343CE"/>
    <w:rsid w:val="6C941555"/>
    <w:rsid w:val="6C994D8D"/>
    <w:rsid w:val="6C9D754B"/>
    <w:rsid w:val="6CBB331C"/>
    <w:rsid w:val="6CBF4D5E"/>
    <w:rsid w:val="6CC27C01"/>
    <w:rsid w:val="6CC44C54"/>
    <w:rsid w:val="6CCD52BD"/>
    <w:rsid w:val="6CDD7FA7"/>
    <w:rsid w:val="6CDE2F83"/>
    <w:rsid w:val="6CE1727B"/>
    <w:rsid w:val="6CE97F64"/>
    <w:rsid w:val="6D025DD6"/>
    <w:rsid w:val="6D27603C"/>
    <w:rsid w:val="6D276F08"/>
    <w:rsid w:val="6D29322D"/>
    <w:rsid w:val="6D2D4FFE"/>
    <w:rsid w:val="6D3B1E2F"/>
    <w:rsid w:val="6D3B4C56"/>
    <w:rsid w:val="6D3D7AD5"/>
    <w:rsid w:val="6D51581D"/>
    <w:rsid w:val="6D54638F"/>
    <w:rsid w:val="6D5633DC"/>
    <w:rsid w:val="6D564DD4"/>
    <w:rsid w:val="6D584F3A"/>
    <w:rsid w:val="6D6D630A"/>
    <w:rsid w:val="6D865850"/>
    <w:rsid w:val="6D90698F"/>
    <w:rsid w:val="6D967A6A"/>
    <w:rsid w:val="6D9744AD"/>
    <w:rsid w:val="6DA5572F"/>
    <w:rsid w:val="6DAC14DD"/>
    <w:rsid w:val="6DB01A18"/>
    <w:rsid w:val="6DB1047A"/>
    <w:rsid w:val="6DB244CD"/>
    <w:rsid w:val="6DCC4267"/>
    <w:rsid w:val="6DD63486"/>
    <w:rsid w:val="6DD76CC0"/>
    <w:rsid w:val="6DE42AAD"/>
    <w:rsid w:val="6DE82F65"/>
    <w:rsid w:val="6DFA2801"/>
    <w:rsid w:val="6E145A7C"/>
    <w:rsid w:val="6E194BBB"/>
    <w:rsid w:val="6E2A123E"/>
    <w:rsid w:val="6E2E4508"/>
    <w:rsid w:val="6E3443E9"/>
    <w:rsid w:val="6E4F2CFF"/>
    <w:rsid w:val="6E511E37"/>
    <w:rsid w:val="6E517668"/>
    <w:rsid w:val="6E650C00"/>
    <w:rsid w:val="6E6A4764"/>
    <w:rsid w:val="6E7F25F3"/>
    <w:rsid w:val="6E84719F"/>
    <w:rsid w:val="6E8A026D"/>
    <w:rsid w:val="6E9578B2"/>
    <w:rsid w:val="6E9821A1"/>
    <w:rsid w:val="6EA74235"/>
    <w:rsid w:val="6EAB3634"/>
    <w:rsid w:val="6EBD33EE"/>
    <w:rsid w:val="6EC030A5"/>
    <w:rsid w:val="6EC1660C"/>
    <w:rsid w:val="6EC9031B"/>
    <w:rsid w:val="6ED02826"/>
    <w:rsid w:val="6ED51BBF"/>
    <w:rsid w:val="6ED9051F"/>
    <w:rsid w:val="6EE81B2A"/>
    <w:rsid w:val="6EF04999"/>
    <w:rsid w:val="6EF32CBB"/>
    <w:rsid w:val="6EF75AB9"/>
    <w:rsid w:val="6EF76E3B"/>
    <w:rsid w:val="6EFC4FA9"/>
    <w:rsid w:val="6EFE4C50"/>
    <w:rsid w:val="6F052C91"/>
    <w:rsid w:val="6F0E362A"/>
    <w:rsid w:val="6F1816E4"/>
    <w:rsid w:val="6F2A29F3"/>
    <w:rsid w:val="6F3C1EAA"/>
    <w:rsid w:val="6F3D1ED9"/>
    <w:rsid w:val="6F3E026B"/>
    <w:rsid w:val="6F484A46"/>
    <w:rsid w:val="6F553E44"/>
    <w:rsid w:val="6F581D10"/>
    <w:rsid w:val="6F5B7FFF"/>
    <w:rsid w:val="6F652F01"/>
    <w:rsid w:val="6F6F2E71"/>
    <w:rsid w:val="6F702FC7"/>
    <w:rsid w:val="6F716614"/>
    <w:rsid w:val="6F741BA3"/>
    <w:rsid w:val="6F872C59"/>
    <w:rsid w:val="6F8D4951"/>
    <w:rsid w:val="6FA3347C"/>
    <w:rsid w:val="6FAA3674"/>
    <w:rsid w:val="6FAD47A6"/>
    <w:rsid w:val="6FB10B31"/>
    <w:rsid w:val="6FBD242C"/>
    <w:rsid w:val="6FDC234B"/>
    <w:rsid w:val="6FDE6A14"/>
    <w:rsid w:val="6FF50A29"/>
    <w:rsid w:val="6FF6351A"/>
    <w:rsid w:val="70006A9A"/>
    <w:rsid w:val="70052F32"/>
    <w:rsid w:val="700A653A"/>
    <w:rsid w:val="701204CC"/>
    <w:rsid w:val="70183F8B"/>
    <w:rsid w:val="701876E5"/>
    <w:rsid w:val="7020205F"/>
    <w:rsid w:val="70223424"/>
    <w:rsid w:val="702407B8"/>
    <w:rsid w:val="702F0693"/>
    <w:rsid w:val="70334C80"/>
    <w:rsid w:val="704F2FB3"/>
    <w:rsid w:val="705D7F37"/>
    <w:rsid w:val="706D4E67"/>
    <w:rsid w:val="707A4653"/>
    <w:rsid w:val="7089722E"/>
    <w:rsid w:val="708B6E9F"/>
    <w:rsid w:val="70910274"/>
    <w:rsid w:val="70A45C90"/>
    <w:rsid w:val="70A53416"/>
    <w:rsid w:val="70A56B65"/>
    <w:rsid w:val="70AA5DC7"/>
    <w:rsid w:val="70AC4225"/>
    <w:rsid w:val="70AD6BD1"/>
    <w:rsid w:val="70B54A22"/>
    <w:rsid w:val="70B744E6"/>
    <w:rsid w:val="70B8391A"/>
    <w:rsid w:val="70C70ACF"/>
    <w:rsid w:val="70CA6991"/>
    <w:rsid w:val="70CF4090"/>
    <w:rsid w:val="70CF4B23"/>
    <w:rsid w:val="70D12EC4"/>
    <w:rsid w:val="70D55D00"/>
    <w:rsid w:val="70DD792D"/>
    <w:rsid w:val="70FE779F"/>
    <w:rsid w:val="7100273B"/>
    <w:rsid w:val="7105304B"/>
    <w:rsid w:val="71076027"/>
    <w:rsid w:val="711079F2"/>
    <w:rsid w:val="712A62A5"/>
    <w:rsid w:val="716213EE"/>
    <w:rsid w:val="716779B0"/>
    <w:rsid w:val="717A5048"/>
    <w:rsid w:val="717C41D0"/>
    <w:rsid w:val="7182148D"/>
    <w:rsid w:val="718928BF"/>
    <w:rsid w:val="718C3D14"/>
    <w:rsid w:val="719642B8"/>
    <w:rsid w:val="71A82B2A"/>
    <w:rsid w:val="71C4461A"/>
    <w:rsid w:val="71CF00C9"/>
    <w:rsid w:val="71D85B53"/>
    <w:rsid w:val="71F204D0"/>
    <w:rsid w:val="71F45476"/>
    <w:rsid w:val="720573B8"/>
    <w:rsid w:val="720B13CF"/>
    <w:rsid w:val="720C5449"/>
    <w:rsid w:val="72100473"/>
    <w:rsid w:val="72167275"/>
    <w:rsid w:val="72272DF4"/>
    <w:rsid w:val="72314BFF"/>
    <w:rsid w:val="72317074"/>
    <w:rsid w:val="7240015D"/>
    <w:rsid w:val="724D3F2E"/>
    <w:rsid w:val="72601B3C"/>
    <w:rsid w:val="726278FE"/>
    <w:rsid w:val="7277094B"/>
    <w:rsid w:val="72771D81"/>
    <w:rsid w:val="72827A9B"/>
    <w:rsid w:val="728C3749"/>
    <w:rsid w:val="72926EBD"/>
    <w:rsid w:val="729E38B7"/>
    <w:rsid w:val="72A73849"/>
    <w:rsid w:val="72B63710"/>
    <w:rsid w:val="72C06FB1"/>
    <w:rsid w:val="72DA0DAE"/>
    <w:rsid w:val="72DA6D01"/>
    <w:rsid w:val="72E13B05"/>
    <w:rsid w:val="72E626F5"/>
    <w:rsid w:val="72F7152C"/>
    <w:rsid w:val="72FA5CB8"/>
    <w:rsid w:val="72FA6C8B"/>
    <w:rsid w:val="73013564"/>
    <w:rsid w:val="73017070"/>
    <w:rsid w:val="730E3982"/>
    <w:rsid w:val="73116AA6"/>
    <w:rsid w:val="73226E0E"/>
    <w:rsid w:val="7324716A"/>
    <w:rsid w:val="733F6B2D"/>
    <w:rsid w:val="734A0734"/>
    <w:rsid w:val="735C535B"/>
    <w:rsid w:val="73651F35"/>
    <w:rsid w:val="7377095A"/>
    <w:rsid w:val="73887250"/>
    <w:rsid w:val="73937D3A"/>
    <w:rsid w:val="73980919"/>
    <w:rsid w:val="73AB38B5"/>
    <w:rsid w:val="73D96E53"/>
    <w:rsid w:val="73E00F7C"/>
    <w:rsid w:val="73E6024C"/>
    <w:rsid w:val="73F34C83"/>
    <w:rsid w:val="73F92E98"/>
    <w:rsid w:val="73FD54A2"/>
    <w:rsid w:val="74076209"/>
    <w:rsid w:val="740A563F"/>
    <w:rsid w:val="74107352"/>
    <w:rsid w:val="743D1DBC"/>
    <w:rsid w:val="743D7356"/>
    <w:rsid w:val="74424151"/>
    <w:rsid w:val="744E2F5E"/>
    <w:rsid w:val="745261D1"/>
    <w:rsid w:val="745D43C2"/>
    <w:rsid w:val="74601BD6"/>
    <w:rsid w:val="74676A9D"/>
    <w:rsid w:val="746A0DB3"/>
    <w:rsid w:val="74731CE9"/>
    <w:rsid w:val="74773D40"/>
    <w:rsid w:val="74822038"/>
    <w:rsid w:val="74826011"/>
    <w:rsid w:val="749272B7"/>
    <w:rsid w:val="74A92490"/>
    <w:rsid w:val="74AB106C"/>
    <w:rsid w:val="74B82233"/>
    <w:rsid w:val="74D1200C"/>
    <w:rsid w:val="75021F40"/>
    <w:rsid w:val="750E5803"/>
    <w:rsid w:val="75122DCD"/>
    <w:rsid w:val="7513436F"/>
    <w:rsid w:val="751A4786"/>
    <w:rsid w:val="75253501"/>
    <w:rsid w:val="752A2E6A"/>
    <w:rsid w:val="752C3931"/>
    <w:rsid w:val="75320C67"/>
    <w:rsid w:val="754816B4"/>
    <w:rsid w:val="75553080"/>
    <w:rsid w:val="756263AE"/>
    <w:rsid w:val="757C6C5E"/>
    <w:rsid w:val="75842621"/>
    <w:rsid w:val="75851E68"/>
    <w:rsid w:val="75892537"/>
    <w:rsid w:val="7590690B"/>
    <w:rsid w:val="75985616"/>
    <w:rsid w:val="759E4EA7"/>
    <w:rsid w:val="75A005AE"/>
    <w:rsid w:val="75B13D16"/>
    <w:rsid w:val="75BB205F"/>
    <w:rsid w:val="75BF4B25"/>
    <w:rsid w:val="75CE2DDE"/>
    <w:rsid w:val="75D752BF"/>
    <w:rsid w:val="75D87B50"/>
    <w:rsid w:val="75DB4086"/>
    <w:rsid w:val="75E417B2"/>
    <w:rsid w:val="760A02C0"/>
    <w:rsid w:val="760A4EFF"/>
    <w:rsid w:val="760B31C2"/>
    <w:rsid w:val="76136FC8"/>
    <w:rsid w:val="76250CC2"/>
    <w:rsid w:val="763C19EA"/>
    <w:rsid w:val="763F24DF"/>
    <w:rsid w:val="76514BCC"/>
    <w:rsid w:val="76726619"/>
    <w:rsid w:val="767D0112"/>
    <w:rsid w:val="76871A35"/>
    <w:rsid w:val="769A0047"/>
    <w:rsid w:val="769F6C8C"/>
    <w:rsid w:val="76A0160E"/>
    <w:rsid w:val="76A47083"/>
    <w:rsid w:val="76C35C60"/>
    <w:rsid w:val="76CC414B"/>
    <w:rsid w:val="76DE282F"/>
    <w:rsid w:val="76E61D96"/>
    <w:rsid w:val="76E97CB5"/>
    <w:rsid w:val="76FD353D"/>
    <w:rsid w:val="76FF797E"/>
    <w:rsid w:val="7700542E"/>
    <w:rsid w:val="770A35A1"/>
    <w:rsid w:val="771B6FAB"/>
    <w:rsid w:val="7735476F"/>
    <w:rsid w:val="77476226"/>
    <w:rsid w:val="774E2A3D"/>
    <w:rsid w:val="77686F2B"/>
    <w:rsid w:val="776F121C"/>
    <w:rsid w:val="777C4916"/>
    <w:rsid w:val="77821C4B"/>
    <w:rsid w:val="77837BFC"/>
    <w:rsid w:val="77872A68"/>
    <w:rsid w:val="77AB1B7C"/>
    <w:rsid w:val="77AD1D4E"/>
    <w:rsid w:val="77B63286"/>
    <w:rsid w:val="77C420F2"/>
    <w:rsid w:val="77D21DF6"/>
    <w:rsid w:val="77E745E9"/>
    <w:rsid w:val="77EB34F8"/>
    <w:rsid w:val="77F6722B"/>
    <w:rsid w:val="77FC0252"/>
    <w:rsid w:val="77FE5D43"/>
    <w:rsid w:val="78106987"/>
    <w:rsid w:val="781624B7"/>
    <w:rsid w:val="78175668"/>
    <w:rsid w:val="781924BD"/>
    <w:rsid w:val="7841295F"/>
    <w:rsid w:val="784375A6"/>
    <w:rsid w:val="784F77F4"/>
    <w:rsid w:val="7854481C"/>
    <w:rsid w:val="786E53EB"/>
    <w:rsid w:val="7872546E"/>
    <w:rsid w:val="78771529"/>
    <w:rsid w:val="78911322"/>
    <w:rsid w:val="78981E14"/>
    <w:rsid w:val="789C3EFA"/>
    <w:rsid w:val="78A77216"/>
    <w:rsid w:val="78AA0EBE"/>
    <w:rsid w:val="78C31ACE"/>
    <w:rsid w:val="78C41DAE"/>
    <w:rsid w:val="78C82090"/>
    <w:rsid w:val="78F0085E"/>
    <w:rsid w:val="790A5D98"/>
    <w:rsid w:val="791741EE"/>
    <w:rsid w:val="791B7181"/>
    <w:rsid w:val="792C3F25"/>
    <w:rsid w:val="79334A6B"/>
    <w:rsid w:val="793E418E"/>
    <w:rsid w:val="794167C3"/>
    <w:rsid w:val="794301AD"/>
    <w:rsid w:val="7944173D"/>
    <w:rsid w:val="794E6DA1"/>
    <w:rsid w:val="794F49D1"/>
    <w:rsid w:val="79526046"/>
    <w:rsid w:val="79626DDC"/>
    <w:rsid w:val="79747325"/>
    <w:rsid w:val="797B4F1F"/>
    <w:rsid w:val="798D18C6"/>
    <w:rsid w:val="798F5BAC"/>
    <w:rsid w:val="79912838"/>
    <w:rsid w:val="799E0C2B"/>
    <w:rsid w:val="79A929AF"/>
    <w:rsid w:val="79B256B0"/>
    <w:rsid w:val="79D9036F"/>
    <w:rsid w:val="79E32C7B"/>
    <w:rsid w:val="7A0465C2"/>
    <w:rsid w:val="7A0642D0"/>
    <w:rsid w:val="7A1E23CF"/>
    <w:rsid w:val="7A1E65D8"/>
    <w:rsid w:val="7A1F0B92"/>
    <w:rsid w:val="7A2A0FBE"/>
    <w:rsid w:val="7A2F0FE2"/>
    <w:rsid w:val="7A2F5BD4"/>
    <w:rsid w:val="7A3C083E"/>
    <w:rsid w:val="7A4C0112"/>
    <w:rsid w:val="7A547813"/>
    <w:rsid w:val="7A560DE3"/>
    <w:rsid w:val="7A5835D6"/>
    <w:rsid w:val="7A5A0B43"/>
    <w:rsid w:val="7A641499"/>
    <w:rsid w:val="7A667399"/>
    <w:rsid w:val="7A730714"/>
    <w:rsid w:val="7A8A622B"/>
    <w:rsid w:val="7A912022"/>
    <w:rsid w:val="7A9B5412"/>
    <w:rsid w:val="7AA103F5"/>
    <w:rsid w:val="7AAB62F3"/>
    <w:rsid w:val="7AB55A29"/>
    <w:rsid w:val="7ABC4C87"/>
    <w:rsid w:val="7AD73B18"/>
    <w:rsid w:val="7AD83D61"/>
    <w:rsid w:val="7ADB0D50"/>
    <w:rsid w:val="7AE9514E"/>
    <w:rsid w:val="7AED4032"/>
    <w:rsid w:val="7AF038BB"/>
    <w:rsid w:val="7AF11353"/>
    <w:rsid w:val="7B020750"/>
    <w:rsid w:val="7B0A537E"/>
    <w:rsid w:val="7B127C9A"/>
    <w:rsid w:val="7B176A22"/>
    <w:rsid w:val="7B257303"/>
    <w:rsid w:val="7B3B4883"/>
    <w:rsid w:val="7B4E39DC"/>
    <w:rsid w:val="7B77268D"/>
    <w:rsid w:val="7B8D3A9B"/>
    <w:rsid w:val="7B9A46B2"/>
    <w:rsid w:val="7B9C673F"/>
    <w:rsid w:val="7BAE536B"/>
    <w:rsid w:val="7BAF16A0"/>
    <w:rsid w:val="7BBA257C"/>
    <w:rsid w:val="7BD805E2"/>
    <w:rsid w:val="7BDA378E"/>
    <w:rsid w:val="7BDD6A66"/>
    <w:rsid w:val="7BE7137F"/>
    <w:rsid w:val="7BEC4675"/>
    <w:rsid w:val="7BED625D"/>
    <w:rsid w:val="7C317EED"/>
    <w:rsid w:val="7C41053C"/>
    <w:rsid w:val="7C4A39E1"/>
    <w:rsid w:val="7C4E36FC"/>
    <w:rsid w:val="7C570015"/>
    <w:rsid w:val="7C582A63"/>
    <w:rsid w:val="7C5F0FCE"/>
    <w:rsid w:val="7C5F735C"/>
    <w:rsid w:val="7C71228E"/>
    <w:rsid w:val="7C895874"/>
    <w:rsid w:val="7CC47ABA"/>
    <w:rsid w:val="7CDF2E23"/>
    <w:rsid w:val="7D0B7F3A"/>
    <w:rsid w:val="7D0D5263"/>
    <w:rsid w:val="7D107378"/>
    <w:rsid w:val="7D18193F"/>
    <w:rsid w:val="7D1E4988"/>
    <w:rsid w:val="7D276804"/>
    <w:rsid w:val="7D2B44F6"/>
    <w:rsid w:val="7D2D1E27"/>
    <w:rsid w:val="7D4C3E69"/>
    <w:rsid w:val="7D7D3EDB"/>
    <w:rsid w:val="7D7D4343"/>
    <w:rsid w:val="7D7F68F5"/>
    <w:rsid w:val="7D906AE0"/>
    <w:rsid w:val="7D9A28FC"/>
    <w:rsid w:val="7DB44B27"/>
    <w:rsid w:val="7DBC698F"/>
    <w:rsid w:val="7DC15B96"/>
    <w:rsid w:val="7DCA1E1B"/>
    <w:rsid w:val="7DCD00BC"/>
    <w:rsid w:val="7DDA304D"/>
    <w:rsid w:val="7DED1964"/>
    <w:rsid w:val="7E0E1A1B"/>
    <w:rsid w:val="7E195F2D"/>
    <w:rsid w:val="7E196EFB"/>
    <w:rsid w:val="7E20113E"/>
    <w:rsid w:val="7E4039CB"/>
    <w:rsid w:val="7E417151"/>
    <w:rsid w:val="7E4E7659"/>
    <w:rsid w:val="7E5711F0"/>
    <w:rsid w:val="7E5C39E4"/>
    <w:rsid w:val="7E6D403C"/>
    <w:rsid w:val="7E7041E8"/>
    <w:rsid w:val="7E7B0841"/>
    <w:rsid w:val="7E890F7F"/>
    <w:rsid w:val="7E8A6191"/>
    <w:rsid w:val="7E9050F0"/>
    <w:rsid w:val="7E99614D"/>
    <w:rsid w:val="7E996388"/>
    <w:rsid w:val="7EBA4456"/>
    <w:rsid w:val="7EBD18E8"/>
    <w:rsid w:val="7EC27F8A"/>
    <w:rsid w:val="7ECB0A4C"/>
    <w:rsid w:val="7ED5106B"/>
    <w:rsid w:val="7EDB57D6"/>
    <w:rsid w:val="7EF34417"/>
    <w:rsid w:val="7F0140D1"/>
    <w:rsid w:val="7F073BD7"/>
    <w:rsid w:val="7F153CC4"/>
    <w:rsid w:val="7F177C83"/>
    <w:rsid w:val="7F1A1208"/>
    <w:rsid w:val="7F1A430A"/>
    <w:rsid w:val="7F1C3458"/>
    <w:rsid w:val="7F1C6FBF"/>
    <w:rsid w:val="7F24615A"/>
    <w:rsid w:val="7F3403CA"/>
    <w:rsid w:val="7F45160A"/>
    <w:rsid w:val="7F460C10"/>
    <w:rsid w:val="7F5C2611"/>
    <w:rsid w:val="7F637DBE"/>
    <w:rsid w:val="7F6C14E1"/>
    <w:rsid w:val="7F9075B7"/>
    <w:rsid w:val="7FA64F76"/>
    <w:rsid w:val="7FAA5FA5"/>
    <w:rsid w:val="7FAA6566"/>
    <w:rsid w:val="7FC127F4"/>
    <w:rsid w:val="7FDE12B5"/>
    <w:rsid w:val="7FF4688D"/>
    <w:rsid w:val="7FF66C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b/>
      <w:bCs/>
      <w:kern w:val="44"/>
      <w:sz w:val="44"/>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4"/>
    <w:next w:val="44"/>
    <w:qFormat/>
    <w:uiPriority w:val="0"/>
    <w:pPr>
      <w:ind w:firstLine="360"/>
    </w:pPr>
    <w:rPr>
      <w:sz w:val="18"/>
    </w:rPr>
  </w:style>
  <w:style w:type="paragraph" w:customStyle="1" w:styleId="202">
    <w:name w:val="图标脚注说明"/>
    <w:basedOn w:val="44"/>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6">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0">
    <w:name w:val="其他实施日期"/>
    <w:basedOn w:val="164"/>
    <w:qFormat/>
    <w:uiPriority w:val="0"/>
  </w:style>
  <w:style w:type="paragraph" w:customStyle="1" w:styleId="211">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7"/>
    <w:qFormat/>
    <w:uiPriority w:val="0"/>
  </w:style>
  <w:style w:type="paragraph" w:customStyle="1" w:styleId="216">
    <w:name w:val="其他发布日期"/>
    <w:basedOn w:val="165"/>
    <w:qFormat/>
    <w:uiPriority w:val="0"/>
  </w:style>
  <w:style w:type="paragraph" w:customStyle="1" w:styleId="217">
    <w:name w:val="B4"/>
    <w:basedOn w:val="48"/>
    <w:link w:val="274"/>
    <w:qFormat/>
    <w:uiPriority w:val="0"/>
  </w:style>
  <w:style w:type="paragraph" w:customStyle="1" w:styleId="218">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1">
    <w:name w:val="附录表标号"/>
    <w:basedOn w:val="1"/>
    <w:next w:val="44"/>
    <w:qFormat/>
    <w:uiPriority w:val="0"/>
    <w:pPr>
      <w:spacing w:line="14" w:lineRule="exact"/>
      <w:ind w:left="811" w:hanging="448"/>
      <w:jc w:val="center"/>
      <w:outlineLvl w:val="0"/>
    </w:pPr>
    <w:rPr>
      <w:color w:val="FFFFFF"/>
    </w:rPr>
  </w:style>
  <w:style w:type="paragraph" w:customStyle="1" w:styleId="222">
    <w:name w:val="附录图标题"/>
    <w:basedOn w:val="1"/>
    <w:next w:val="44"/>
    <w:qFormat/>
    <w:uiPriority w:val="0"/>
    <w:pPr>
      <w:tabs>
        <w:tab w:val="left" w:pos="363"/>
      </w:tabs>
      <w:spacing w:beforeLines="50" w:afterLines="50"/>
      <w:jc w:val="center"/>
    </w:pPr>
    <w:rPr>
      <w:rFonts w:ascii="黑体" w:eastAsia="黑体"/>
      <w:szCs w:val="21"/>
    </w:rPr>
  </w:style>
  <w:style w:type="paragraph" w:customStyle="1" w:styleId="223">
    <w:name w:val="附录标题"/>
    <w:basedOn w:val="44"/>
    <w:next w:val="44"/>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8"/>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6"/>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List Paragraph2"/>
    <w:basedOn w:val="1"/>
    <w:qFormat/>
    <w:uiPriority w:val="0"/>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4">
    <w:name w:val="text"/>
    <w:basedOn w:val="1"/>
    <w:qFormat/>
    <w:uiPriority w:val="0"/>
    <w:pPr>
      <w:spacing w:after="240"/>
    </w:pPr>
    <w:rPr>
      <w:rFonts w:ascii="Calibri" w:hAnsi="Calibri" w:eastAsia="宋体"/>
      <w:sz w:val="24"/>
      <w:szCs w:val="20"/>
    </w:rPr>
  </w:style>
  <w:style w:type="character" w:customStyle="1" w:styleId="285">
    <w:name w:val="15"/>
    <w:basedOn w:val="56"/>
    <w:qFormat/>
    <w:uiPriority w:val="0"/>
    <w:rPr>
      <w:rFonts w:hint="default" w:ascii="Century" w:hAnsi="Century" w:eastAsia="Century" w:cs="Century"/>
    </w:rPr>
  </w:style>
  <w:style w:type="character" w:customStyle="1" w:styleId="286">
    <w:name w:val="10"/>
    <w:basedOn w:val="56"/>
    <w:qFormat/>
    <w:uiPriority w:val="0"/>
    <w:rPr>
      <w:rFonts w:hint="default" w:ascii="Century" w:hAnsi="Century" w:eastAsia="Century" w:cs="Century"/>
    </w:rPr>
  </w:style>
  <w:style w:type="paragraph" w:styleId="287">
    <w:name w:val="List Paragraph"/>
    <w:basedOn w:val="1"/>
    <w:qFormat/>
    <w:uiPriority w:val="34"/>
    <w:pPr>
      <w:widowControl/>
      <w:spacing w:after="200" w:line="276" w:lineRule="auto"/>
      <w:ind w:left="720"/>
      <w:contextualSpacing/>
      <w:jc w:val="left"/>
    </w:pPr>
    <w:rPr>
      <w:rFonts w:ascii="Calibri" w:hAnsi="Calibri" w:eastAsia="Calibri"/>
      <w:kern w:val="0"/>
      <w:sz w:val="22"/>
      <w:szCs w:val="22"/>
      <w:lang w:eastAsia="en-US"/>
    </w:rPr>
  </w:style>
  <w:style w:type="paragraph" w:customStyle="1" w:styleId="288">
    <w:name w:val="Paragraphe de liste1"/>
    <w:basedOn w:val="1"/>
    <w:qFormat/>
    <w:uiPriority w:val="34"/>
    <w:pPr>
      <w:spacing w:after="200" w:line="276" w:lineRule="auto"/>
      <w:ind w:left="720"/>
      <w:contextualSpacing/>
    </w:pPr>
    <w:rPr>
      <w:rFonts w:ascii="Calibri" w:hAnsi="Calibri" w:eastAsia="Calibri" w:cs="Times New Roman"/>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FF3C2E-0918-4837-8284-705B9CF4CF3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2456</Words>
  <Characters>14001</Characters>
  <Lines>116</Lines>
  <Paragraphs>32</Paragraphs>
  <TotalTime>1</TotalTime>
  <ScaleCrop>false</ScaleCrop>
  <LinksUpToDate>false</LinksUpToDate>
  <CharactersWithSpaces>16425</CharactersWithSpaces>
  <Application>WPS Office_10.1.0.7578_F1E327BC-269C-435d-A152-05C5408002CA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ZTE(Yuan)</cp:lastModifiedBy>
  <cp:lastPrinted>2113-01-01T00:00:00Z</cp:lastPrinted>
  <dcterms:modified xsi:type="dcterms:W3CDTF">2018-11-01T08:58:46Z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2052-10.1.0.7578</vt:lpwstr>
  </property>
</Properties>
</file>